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84FBC" w14:textId="77777777" w:rsidR="00AC6510" w:rsidRDefault="00AC6510" w:rsidP="006D4A5B">
      <w:pPr>
        <w:pStyle w:val="Normal1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OPTIONAL</w:t>
      </w:r>
      <w:r w:rsidR="00CA5212">
        <w:rPr>
          <w:b/>
          <w:sz w:val="28"/>
          <w:szCs w:val="28"/>
        </w:rPr>
        <w:t xml:space="preserve"> </w:t>
      </w:r>
      <w:r w:rsidR="00BE62E8">
        <w:rPr>
          <w:b/>
          <w:sz w:val="28"/>
          <w:szCs w:val="28"/>
        </w:rPr>
        <w:t xml:space="preserve">CRITERIA </w:t>
      </w:r>
      <w:r>
        <w:rPr>
          <w:b/>
          <w:sz w:val="28"/>
          <w:szCs w:val="28"/>
        </w:rPr>
        <w:t xml:space="preserve">FOR </w:t>
      </w:r>
      <w:r w:rsidR="00BE62E8">
        <w:rPr>
          <w:b/>
          <w:sz w:val="28"/>
          <w:szCs w:val="28"/>
        </w:rPr>
        <w:t xml:space="preserve">PROMOTION </w:t>
      </w:r>
      <w:r>
        <w:rPr>
          <w:b/>
          <w:sz w:val="28"/>
          <w:szCs w:val="28"/>
        </w:rPr>
        <w:t>REVIEWS</w:t>
      </w:r>
      <w:r w:rsidR="00CA7C28">
        <w:rPr>
          <w:b/>
          <w:sz w:val="28"/>
          <w:szCs w:val="28"/>
        </w:rPr>
        <w:t xml:space="preserve"> </w:t>
      </w:r>
    </w:p>
    <w:p w14:paraId="268581E0" w14:textId="3755F1E2" w:rsidR="00CA7C28" w:rsidRPr="00635A46" w:rsidRDefault="00AC6510" w:rsidP="006D4A5B">
      <w:pPr>
        <w:pStyle w:val="Normal1"/>
        <w:spacing w:line="240" w:lineRule="auto"/>
        <w:jc w:val="center"/>
        <w:rPr>
          <w:b/>
          <w:sz w:val="4"/>
          <w:szCs w:val="4"/>
        </w:rPr>
      </w:pPr>
      <w:r>
        <w:rPr>
          <w:b/>
          <w:sz w:val="28"/>
          <w:szCs w:val="28"/>
        </w:rPr>
        <w:t>FOR CAREER-TRACK LECTURER</w:t>
      </w:r>
      <w:r w:rsidR="00CA7C28">
        <w:rPr>
          <w:b/>
          <w:sz w:val="28"/>
          <w:szCs w:val="28"/>
        </w:rPr>
        <w:br/>
      </w:r>
    </w:p>
    <w:p w14:paraId="3ACFC629" w14:textId="7D0FF372" w:rsidR="002178AB" w:rsidRPr="000D2E94" w:rsidRDefault="002178AB" w:rsidP="006D4A5B">
      <w:pPr>
        <w:pStyle w:val="Normal1"/>
        <w:pBdr>
          <w:bottom w:val="single" w:sz="4" w:space="1" w:color="auto"/>
        </w:pBdr>
        <w:spacing w:before="200" w:after="120" w:line="240" w:lineRule="auto"/>
        <w:rPr>
          <w:rFonts w:asciiTheme="majorHAnsi" w:eastAsia="Calibri" w:hAnsiTheme="majorHAnsi" w:cstheme="majorHAnsi"/>
          <w:b/>
          <w:sz w:val="8"/>
          <w:szCs w:val="8"/>
        </w:rPr>
      </w:pPr>
    </w:p>
    <w:p w14:paraId="186015EE" w14:textId="10668AF6" w:rsidR="00CA5212" w:rsidRDefault="00CA5212" w:rsidP="006D4A5B">
      <w:pPr>
        <w:pStyle w:val="NormalWeb"/>
        <w:spacing w:before="0" w:beforeAutospacing="0"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Departments and other </w:t>
      </w:r>
      <w:r w:rsidRPr="00635A46">
        <w:rPr>
          <w:rFonts w:asciiTheme="majorHAnsi" w:eastAsia="Calibri" w:hAnsiTheme="majorHAnsi" w:cstheme="majorHAnsi"/>
          <w:sz w:val="22"/>
          <w:szCs w:val="22"/>
        </w:rPr>
        <w:t>units are required to have procedures for promotion reviews before making career-track lecturer or professor appointments</w:t>
      </w:r>
      <w:r>
        <w:rPr>
          <w:rFonts w:asciiTheme="majorHAnsi" w:eastAsia="Calibri" w:hAnsiTheme="majorHAnsi" w:cstheme="majorHAnsi"/>
          <w:sz w:val="22"/>
          <w:szCs w:val="22"/>
        </w:rPr>
        <w:t>, as noted in the p</w:t>
      </w:r>
      <w:r w:rsidRPr="00635A46">
        <w:rPr>
          <w:rFonts w:asciiTheme="majorHAnsi" w:eastAsia="Calibri" w:hAnsiTheme="majorHAnsi" w:cstheme="majorHAnsi"/>
          <w:sz w:val="22"/>
          <w:szCs w:val="22"/>
        </w:rPr>
        <w:t xml:space="preserve">olicies for appointments and promotion reviews of career-track in </w:t>
      </w:r>
      <w:r>
        <w:rPr>
          <w:rFonts w:asciiTheme="majorHAnsi" w:eastAsia="Calibri" w:hAnsiTheme="majorHAnsi" w:cstheme="majorHAnsi"/>
          <w:sz w:val="22"/>
          <w:szCs w:val="22"/>
        </w:rPr>
        <w:t xml:space="preserve">chapter 3 of the </w:t>
      </w:r>
      <w:hyperlink r:id="rId8" w:history="1">
        <w:r w:rsidRPr="00CA5212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University Handbook for Appointed Personnel</w:t>
        </w:r>
      </w:hyperlink>
      <w:r>
        <w:rPr>
          <w:rFonts w:asciiTheme="majorHAnsi" w:eastAsia="Calibri" w:hAnsiTheme="majorHAnsi" w:cstheme="majorHAnsi"/>
          <w:sz w:val="22"/>
          <w:szCs w:val="22"/>
        </w:rPr>
        <w:t xml:space="preserve"> (UHAP).  To</w:t>
      </w:r>
      <w:r w:rsidRPr="00635A46">
        <w:rPr>
          <w:rFonts w:asciiTheme="majorHAnsi" w:hAnsiTheme="majorHAnsi" w:cstheme="majorHAnsi"/>
          <w:sz w:val="22"/>
          <w:szCs w:val="22"/>
        </w:rPr>
        <w:t xml:space="preserve"> meet this requirement, units </w:t>
      </w:r>
      <w:r>
        <w:rPr>
          <w:rFonts w:asciiTheme="majorHAnsi" w:hAnsiTheme="majorHAnsi" w:cstheme="majorHAnsi"/>
          <w:sz w:val="22"/>
          <w:szCs w:val="22"/>
        </w:rPr>
        <w:t xml:space="preserve">with few career-track faculty </w:t>
      </w:r>
      <w:r w:rsidRPr="00635A46">
        <w:rPr>
          <w:rFonts w:asciiTheme="majorHAnsi" w:hAnsiTheme="majorHAnsi" w:cstheme="majorHAnsi"/>
          <w:sz w:val="22"/>
          <w:szCs w:val="22"/>
        </w:rPr>
        <w:t xml:space="preserve">may elect to adopt the </w:t>
      </w:r>
      <w:r w:rsidR="00AC6510">
        <w:rPr>
          <w:rFonts w:asciiTheme="majorHAnsi" w:hAnsiTheme="majorHAnsi" w:cstheme="majorHAnsi"/>
          <w:sz w:val="22"/>
          <w:szCs w:val="22"/>
        </w:rPr>
        <w:t>Optional</w:t>
      </w:r>
      <w:r>
        <w:rPr>
          <w:rFonts w:asciiTheme="majorHAnsi" w:hAnsiTheme="majorHAnsi" w:cstheme="majorHAnsi"/>
          <w:sz w:val="22"/>
          <w:szCs w:val="22"/>
        </w:rPr>
        <w:t xml:space="preserve"> C</w:t>
      </w:r>
      <w:r w:rsidRPr="00635A46">
        <w:rPr>
          <w:rFonts w:asciiTheme="majorHAnsi" w:hAnsiTheme="majorHAnsi" w:cstheme="majorHAnsi"/>
          <w:sz w:val="22"/>
          <w:szCs w:val="22"/>
        </w:rPr>
        <w:t>riteria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AC6510">
        <w:rPr>
          <w:rFonts w:asciiTheme="majorHAnsi" w:hAnsiTheme="majorHAnsi" w:cstheme="majorHAnsi"/>
          <w:sz w:val="22"/>
          <w:szCs w:val="22"/>
        </w:rPr>
        <w:t>for</w:t>
      </w:r>
      <w:r>
        <w:rPr>
          <w:rFonts w:asciiTheme="majorHAnsi" w:hAnsiTheme="majorHAnsi" w:cstheme="majorHAnsi"/>
          <w:sz w:val="22"/>
          <w:szCs w:val="22"/>
        </w:rPr>
        <w:t xml:space="preserve"> Promotion </w:t>
      </w:r>
      <w:r w:rsidR="00AC6510">
        <w:rPr>
          <w:rFonts w:asciiTheme="majorHAnsi" w:hAnsiTheme="majorHAnsi" w:cstheme="majorHAnsi"/>
          <w:sz w:val="22"/>
          <w:szCs w:val="22"/>
        </w:rPr>
        <w:t xml:space="preserve">Reviews </w:t>
      </w:r>
      <w:r>
        <w:rPr>
          <w:rFonts w:asciiTheme="majorHAnsi" w:hAnsiTheme="majorHAnsi" w:cstheme="majorHAnsi"/>
          <w:sz w:val="22"/>
          <w:szCs w:val="22"/>
        </w:rPr>
        <w:t>of Career-Track Lecturers</w:t>
      </w:r>
      <w:r w:rsidRPr="00635A46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These criteria are available on the Career-Track Faculty page of the Vice Provost for Faculty Affairs website: </w:t>
      </w:r>
      <w:hyperlink r:id="rId9" w:history="1">
        <w:r w:rsidRPr="00D63B18">
          <w:rPr>
            <w:rStyle w:val="Hyperlink"/>
            <w:rFonts w:asciiTheme="majorHAnsi" w:hAnsiTheme="majorHAnsi" w:cstheme="majorHAnsi"/>
            <w:sz w:val="22"/>
            <w:szCs w:val="22"/>
          </w:rPr>
          <w:t>http://facultyaffairs.arizona.edu/career-track-faculty</w:t>
        </w:r>
      </w:hyperlink>
    </w:p>
    <w:p w14:paraId="2AA90C8D" w14:textId="36981F98" w:rsidR="00C11A3B" w:rsidRPr="00AF1544" w:rsidRDefault="000921B7" w:rsidP="006D4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Theme="majorHAnsi" w:eastAsia="Calibri" w:hAnsiTheme="majorHAnsi" w:cstheme="majorHAnsi"/>
          <w:color w:val="auto"/>
        </w:rPr>
      </w:pPr>
      <w:r w:rsidRPr="00AF1544">
        <w:rPr>
          <w:rFonts w:asciiTheme="majorHAnsi" w:eastAsia="Calibri" w:hAnsiTheme="majorHAnsi" w:cstheme="majorHAnsi"/>
        </w:rPr>
        <w:t xml:space="preserve">According to the </w:t>
      </w:r>
      <w:r w:rsidR="00BE62E8">
        <w:rPr>
          <w:rFonts w:asciiTheme="majorHAnsi" w:eastAsia="Calibri" w:hAnsiTheme="majorHAnsi" w:cstheme="majorHAnsi"/>
        </w:rPr>
        <w:t xml:space="preserve">Definitions in </w:t>
      </w:r>
      <w:r w:rsidRPr="00AF1544">
        <w:rPr>
          <w:rFonts w:asciiTheme="majorHAnsi" w:eastAsia="Calibri" w:hAnsiTheme="majorHAnsi" w:cstheme="majorHAnsi"/>
          <w:color w:val="auto"/>
        </w:rPr>
        <w:t>UHAP</w:t>
      </w:r>
      <w:r w:rsidRPr="00AF1544">
        <w:rPr>
          <w:rFonts w:asciiTheme="majorHAnsi" w:eastAsia="Calibri" w:hAnsiTheme="majorHAnsi" w:cstheme="majorHAnsi"/>
        </w:rPr>
        <w:t>, c</w:t>
      </w:r>
      <w:r w:rsidR="0068674F" w:rsidRPr="00AF1544">
        <w:rPr>
          <w:rFonts w:asciiTheme="majorHAnsi" w:eastAsia="Calibri" w:hAnsiTheme="majorHAnsi" w:cstheme="majorHAnsi"/>
        </w:rPr>
        <w:t>areer-</w:t>
      </w:r>
      <w:r w:rsidRPr="00AF1544">
        <w:rPr>
          <w:rFonts w:asciiTheme="majorHAnsi" w:eastAsia="Calibri" w:hAnsiTheme="majorHAnsi" w:cstheme="majorHAnsi"/>
        </w:rPr>
        <w:t>t</w:t>
      </w:r>
      <w:r w:rsidR="0068674F" w:rsidRPr="00AF1544">
        <w:rPr>
          <w:rFonts w:asciiTheme="majorHAnsi" w:eastAsia="Calibri" w:hAnsiTheme="majorHAnsi" w:cstheme="majorHAnsi"/>
        </w:rPr>
        <w:t xml:space="preserve">rack faculty </w:t>
      </w:r>
      <w:r w:rsidR="00BE62E8">
        <w:rPr>
          <w:rFonts w:asciiTheme="majorHAnsi" w:eastAsia="Calibri" w:hAnsiTheme="majorHAnsi" w:cstheme="majorHAnsi"/>
        </w:rPr>
        <w:t>have</w:t>
      </w:r>
      <w:r w:rsidR="0068674F" w:rsidRPr="00AF1544">
        <w:rPr>
          <w:rFonts w:asciiTheme="majorHAnsi" w:eastAsia="Calibri" w:hAnsiTheme="majorHAnsi" w:cstheme="majorHAnsi"/>
        </w:rPr>
        <w:t xml:space="preserve"> Notice of Appointment</w:t>
      </w:r>
      <w:r w:rsidR="00BE62E8">
        <w:rPr>
          <w:rFonts w:asciiTheme="majorHAnsi" w:eastAsia="Calibri" w:hAnsiTheme="majorHAnsi" w:cstheme="majorHAnsi"/>
        </w:rPr>
        <w:t>s that incorporate</w:t>
      </w:r>
      <w:r w:rsidR="0068674F" w:rsidRPr="00AF1544">
        <w:rPr>
          <w:rFonts w:asciiTheme="majorHAnsi" w:eastAsia="Calibri" w:hAnsiTheme="majorHAnsi" w:cstheme="majorHAnsi"/>
        </w:rPr>
        <w:t xml:space="preserve"> the ABOR Conditions of </w:t>
      </w:r>
      <w:r w:rsidR="0068674F" w:rsidRPr="00AF1544">
        <w:rPr>
          <w:rFonts w:asciiTheme="majorHAnsi" w:eastAsia="Calibri" w:hAnsiTheme="majorHAnsi" w:cstheme="majorHAnsi"/>
          <w:color w:val="auto"/>
        </w:rPr>
        <w:t>Faculty S</w:t>
      </w:r>
      <w:r w:rsidRPr="00AF1544">
        <w:rPr>
          <w:rFonts w:asciiTheme="majorHAnsi" w:eastAsia="Calibri" w:hAnsiTheme="majorHAnsi" w:cstheme="majorHAnsi"/>
          <w:color w:val="auto"/>
        </w:rPr>
        <w:t>ervice (ABOR-PM 6-201)</w:t>
      </w:r>
      <w:r w:rsidR="0068674F" w:rsidRPr="00AF1544">
        <w:rPr>
          <w:rFonts w:asciiTheme="majorHAnsi" w:eastAsia="Calibri" w:hAnsiTheme="majorHAnsi" w:cstheme="majorHAnsi"/>
          <w:color w:val="auto"/>
        </w:rPr>
        <w:t xml:space="preserve"> who</w:t>
      </w:r>
      <w:r w:rsidR="00BD76FD" w:rsidRPr="00AF1544">
        <w:rPr>
          <w:rFonts w:asciiTheme="majorHAnsi" w:eastAsia="Calibri" w:hAnsiTheme="majorHAnsi" w:cstheme="majorHAnsi"/>
          <w:color w:val="auto"/>
        </w:rPr>
        <w:t xml:space="preserve"> are not eligible for tenure and</w:t>
      </w:r>
      <w:r w:rsidR="0068674F" w:rsidRPr="00AF1544">
        <w:rPr>
          <w:rFonts w:asciiTheme="majorHAnsi" w:eastAsia="Calibri" w:hAnsiTheme="majorHAnsi" w:cstheme="majorHAnsi"/>
          <w:color w:val="auto"/>
        </w:rPr>
        <w:t xml:space="preserve"> do not have visiting or adjunct titles</w:t>
      </w:r>
      <w:r w:rsidRPr="00AF1544">
        <w:rPr>
          <w:rFonts w:asciiTheme="majorHAnsi" w:eastAsia="Calibri" w:hAnsiTheme="majorHAnsi" w:cstheme="majorHAnsi"/>
          <w:color w:val="auto"/>
        </w:rPr>
        <w:t>.</w:t>
      </w:r>
      <w:r w:rsidR="00AF1544" w:rsidRPr="00AF1544">
        <w:rPr>
          <w:rFonts w:asciiTheme="majorHAnsi" w:eastAsia="Calibri" w:hAnsiTheme="majorHAnsi" w:cstheme="majorHAnsi"/>
          <w:color w:val="auto"/>
        </w:rPr>
        <w:t xml:space="preserve"> </w:t>
      </w:r>
      <w:r w:rsidR="00AF1544">
        <w:rPr>
          <w:rFonts w:asciiTheme="majorHAnsi" w:eastAsia="Calibri" w:hAnsiTheme="majorHAnsi" w:cstheme="majorHAnsi"/>
        </w:rPr>
        <w:t xml:space="preserve">The University of Arizona has three general title series for </w:t>
      </w:r>
      <w:r w:rsidR="00BE62E8">
        <w:rPr>
          <w:rFonts w:asciiTheme="majorHAnsi" w:eastAsia="Calibri" w:hAnsiTheme="majorHAnsi" w:cstheme="majorHAnsi"/>
        </w:rPr>
        <w:t>such</w:t>
      </w:r>
      <w:r w:rsidR="00AF1544">
        <w:rPr>
          <w:rFonts w:asciiTheme="majorHAnsi" w:eastAsia="Calibri" w:hAnsiTheme="majorHAnsi" w:cstheme="majorHAnsi"/>
        </w:rPr>
        <w:t xml:space="preserve"> faculty: </w:t>
      </w:r>
      <w:r w:rsidR="00BE62E8">
        <w:rPr>
          <w:rFonts w:asciiTheme="majorHAnsi" w:eastAsia="Calibri" w:hAnsiTheme="majorHAnsi" w:cstheme="majorHAnsi"/>
        </w:rPr>
        <w:t xml:space="preserve">career-track </w:t>
      </w:r>
      <w:r w:rsidR="00D03459">
        <w:rPr>
          <w:rFonts w:asciiTheme="majorHAnsi" w:eastAsia="Calibri" w:hAnsiTheme="majorHAnsi" w:cstheme="majorHAnsi"/>
        </w:rPr>
        <w:t xml:space="preserve">instructors, </w:t>
      </w:r>
      <w:r w:rsidR="00BE62E8">
        <w:rPr>
          <w:rFonts w:asciiTheme="majorHAnsi" w:eastAsia="Calibri" w:hAnsiTheme="majorHAnsi" w:cstheme="majorHAnsi"/>
        </w:rPr>
        <w:t xml:space="preserve">career-track </w:t>
      </w:r>
      <w:r w:rsidR="00D03459">
        <w:rPr>
          <w:rFonts w:asciiTheme="majorHAnsi" w:eastAsia="Calibri" w:hAnsiTheme="majorHAnsi" w:cstheme="majorHAnsi"/>
        </w:rPr>
        <w:t xml:space="preserve">lecturers, and </w:t>
      </w:r>
      <w:r w:rsidR="00BE62E8">
        <w:rPr>
          <w:rFonts w:asciiTheme="majorHAnsi" w:eastAsia="Calibri" w:hAnsiTheme="majorHAnsi" w:cstheme="majorHAnsi"/>
        </w:rPr>
        <w:t xml:space="preserve">career-track </w:t>
      </w:r>
      <w:r w:rsidR="00D03459">
        <w:rPr>
          <w:rFonts w:asciiTheme="majorHAnsi" w:eastAsia="Calibri" w:hAnsiTheme="majorHAnsi" w:cstheme="majorHAnsi"/>
        </w:rPr>
        <w:t xml:space="preserve">professors.  </w:t>
      </w:r>
      <w:r w:rsidR="00AF1544" w:rsidRPr="00AF1544">
        <w:rPr>
          <w:rFonts w:asciiTheme="majorHAnsi" w:eastAsia="Calibri" w:hAnsiTheme="majorHAnsi" w:cstheme="majorHAnsi"/>
          <w:color w:val="auto"/>
        </w:rPr>
        <w:t>As noted in UHAP 3.1.02</w:t>
      </w:r>
      <w:r w:rsidR="00D03459">
        <w:rPr>
          <w:rFonts w:asciiTheme="majorHAnsi" w:eastAsia="Calibri" w:hAnsiTheme="majorHAnsi" w:cstheme="majorHAnsi"/>
          <w:color w:val="auto"/>
        </w:rPr>
        <w:t xml:space="preserve"> and 3.3.03.D</w:t>
      </w:r>
      <w:r w:rsidR="00AF1544" w:rsidRPr="00AF1544">
        <w:rPr>
          <w:rFonts w:asciiTheme="majorHAnsi" w:eastAsia="Calibri" w:hAnsiTheme="majorHAnsi" w:cstheme="majorHAnsi"/>
          <w:color w:val="auto"/>
        </w:rPr>
        <w:t xml:space="preserve">, </w:t>
      </w:r>
      <w:r w:rsidR="00D03459">
        <w:rPr>
          <w:rFonts w:asciiTheme="majorHAnsi" w:eastAsia="Calibri" w:hAnsiTheme="majorHAnsi" w:cstheme="majorHAnsi"/>
          <w:color w:val="auto"/>
        </w:rPr>
        <w:t xml:space="preserve">career-track instructor appointments </w:t>
      </w:r>
      <w:r w:rsidR="00BE62E8">
        <w:rPr>
          <w:rFonts w:asciiTheme="majorHAnsi" w:eastAsia="Calibri" w:hAnsiTheme="majorHAnsi" w:cstheme="majorHAnsi"/>
          <w:color w:val="auto"/>
        </w:rPr>
        <w:t xml:space="preserve">are </w:t>
      </w:r>
      <w:r w:rsidR="00D03459">
        <w:rPr>
          <w:rFonts w:asciiTheme="majorHAnsi" w:eastAsia="Times New Roman" w:hAnsiTheme="majorHAnsi" w:cstheme="majorHAnsi"/>
          <w:lang w:val="en-US"/>
        </w:rPr>
        <w:t>appropriate for</w:t>
      </w:r>
      <w:r w:rsidR="00AF1544" w:rsidRPr="00AF1544">
        <w:rPr>
          <w:rFonts w:asciiTheme="majorHAnsi" w:eastAsia="Times New Roman" w:hAnsiTheme="majorHAnsi" w:cstheme="majorHAnsi"/>
          <w:lang w:val="en-US"/>
        </w:rPr>
        <w:t xml:space="preserve"> </w:t>
      </w:r>
      <w:r w:rsidR="00D03459">
        <w:rPr>
          <w:rFonts w:asciiTheme="majorHAnsi" w:eastAsia="Times New Roman" w:hAnsiTheme="majorHAnsi" w:cstheme="majorHAnsi"/>
          <w:lang w:val="en-US"/>
        </w:rPr>
        <w:t xml:space="preserve">faculty </w:t>
      </w:r>
      <w:r w:rsidR="00BE62E8">
        <w:rPr>
          <w:rFonts w:asciiTheme="majorHAnsi" w:eastAsia="Times New Roman" w:hAnsiTheme="majorHAnsi" w:cstheme="majorHAnsi"/>
          <w:lang w:val="en-US"/>
        </w:rPr>
        <w:t>whose duties are limited to teaching</w:t>
      </w:r>
      <w:r w:rsidR="00AF1544" w:rsidRPr="00AF1544">
        <w:rPr>
          <w:rFonts w:asciiTheme="majorHAnsi" w:eastAsia="Times New Roman" w:hAnsiTheme="majorHAnsi" w:cstheme="majorHAnsi"/>
          <w:lang w:val="en-US"/>
        </w:rPr>
        <w:t xml:space="preserve"> </w:t>
      </w:r>
      <w:r w:rsidR="00BE62E8">
        <w:rPr>
          <w:rFonts w:asciiTheme="majorHAnsi" w:eastAsia="Times New Roman" w:hAnsiTheme="majorHAnsi" w:cstheme="majorHAnsi"/>
          <w:lang w:val="en-US"/>
        </w:rPr>
        <w:t>“</w:t>
      </w:r>
      <w:r w:rsidR="00AF1544" w:rsidRPr="00AF1544">
        <w:rPr>
          <w:rFonts w:asciiTheme="majorHAnsi" w:eastAsia="Times New Roman" w:hAnsiTheme="majorHAnsi" w:cstheme="majorHAnsi"/>
          <w:lang w:val="en-US"/>
        </w:rPr>
        <w:t>in a particular area.”</w:t>
      </w:r>
      <w:r w:rsidR="00D03459">
        <w:rPr>
          <w:rFonts w:asciiTheme="majorHAnsi" w:eastAsia="Times New Roman" w:hAnsiTheme="majorHAnsi" w:cstheme="majorHAnsi"/>
          <w:lang w:val="en-US"/>
        </w:rPr>
        <w:t xml:space="preserve">  Instructors do not generally have a promotion path </w:t>
      </w:r>
      <w:r w:rsidR="00BE62E8">
        <w:rPr>
          <w:rFonts w:asciiTheme="majorHAnsi" w:eastAsia="Times New Roman" w:hAnsiTheme="majorHAnsi" w:cstheme="majorHAnsi"/>
          <w:lang w:val="en-US"/>
        </w:rPr>
        <w:t>except in</w:t>
      </w:r>
      <w:r w:rsidR="00D03459">
        <w:rPr>
          <w:rFonts w:asciiTheme="majorHAnsi" w:eastAsia="Times New Roman" w:hAnsiTheme="majorHAnsi" w:cstheme="majorHAnsi"/>
          <w:lang w:val="en-US"/>
        </w:rPr>
        <w:t xml:space="preserve"> units that offer extensive noncredit </w:t>
      </w:r>
      <w:r w:rsidR="00521FA2">
        <w:rPr>
          <w:rFonts w:asciiTheme="majorHAnsi" w:eastAsia="Times New Roman" w:hAnsiTheme="majorHAnsi" w:cstheme="majorHAnsi"/>
          <w:lang w:val="en-US"/>
        </w:rPr>
        <w:t>instruction</w:t>
      </w:r>
      <w:r w:rsidR="00D03459">
        <w:rPr>
          <w:rFonts w:asciiTheme="majorHAnsi" w:eastAsia="Times New Roman" w:hAnsiTheme="majorHAnsi" w:cstheme="majorHAnsi"/>
          <w:lang w:val="en-US"/>
        </w:rPr>
        <w:t xml:space="preserve">. </w:t>
      </w:r>
      <w:proofErr w:type="gramStart"/>
      <w:r w:rsidR="00D03459">
        <w:rPr>
          <w:rFonts w:asciiTheme="majorHAnsi" w:eastAsia="Times New Roman" w:hAnsiTheme="majorHAnsi" w:cstheme="majorHAnsi"/>
          <w:lang w:val="en-US"/>
        </w:rPr>
        <w:t>Lecturers may be promoted to senior and principal lecturer titles following review by a departmental committee and unit head with the approval of the appropriate dean or vice president</w:t>
      </w:r>
      <w:proofErr w:type="gramEnd"/>
      <w:r w:rsidR="00D03459">
        <w:rPr>
          <w:rFonts w:asciiTheme="majorHAnsi" w:eastAsia="Times New Roman" w:hAnsiTheme="majorHAnsi" w:cstheme="majorHAnsi"/>
          <w:lang w:val="en-US"/>
        </w:rPr>
        <w:t>. Lecturers</w:t>
      </w:r>
      <w:r w:rsidR="00BE62E8">
        <w:rPr>
          <w:rFonts w:asciiTheme="majorHAnsi" w:eastAsia="Times New Roman" w:hAnsiTheme="majorHAnsi" w:cstheme="majorHAnsi"/>
          <w:lang w:val="en-US"/>
        </w:rPr>
        <w:t xml:space="preserve"> generally</w:t>
      </w:r>
      <w:r w:rsidR="00D03459">
        <w:rPr>
          <w:rFonts w:asciiTheme="majorHAnsi" w:eastAsia="Times New Roman" w:hAnsiTheme="majorHAnsi" w:cstheme="majorHAnsi"/>
          <w:lang w:val="en-US"/>
        </w:rPr>
        <w:t xml:space="preserve"> have more limited duties than career-track professors, so a conversion of a lecturer position into a position with a professor title must be “justified</w:t>
      </w:r>
      <w:r w:rsidR="00AF1544" w:rsidRPr="00AF1544">
        <w:rPr>
          <w:rFonts w:asciiTheme="majorHAnsi" w:hAnsiTheme="majorHAnsi" w:cstheme="majorHAnsi"/>
          <w:color w:val="333333"/>
        </w:rPr>
        <w:t xml:space="preserve"> by increased responsibilities such as expanded teaching or supervisory duties</w:t>
      </w:r>
      <w:r w:rsidR="00D03459">
        <w:rPr>
          <w:rFonts w:asciiTheme="majorHAnsi" w:hAnsiTheme="majorHAnsi" w:cstheme="majorHAnsi"/>
          <w:color w:val="333333"/>
        </w:rPr>
        <w:t xml:space="preserve">” as well </w:t>
      </w:r>
      <w:r w:rsidR="00BE62E8">
        <w:rPr>
          <w:rFonts w:asciiTheme="majorHAnsi" w:hAnsiTheme="majorHAnsi" w:cstheme="majorHAnsi"/>
          <w:color w:val="333333"/>
        </w:rPr>
        <w:t xml:space="preserve">as </w:t>
      </w:r>
      <w:r w:rsidR="00D03459">
        <w:rPr>
          <w:rFonts w:asciiTheme="majorHAnsi" w:hAnsiTheme="majorHAnsi" w:cstheme="majorHAnsi"/>
          <w:color w:val="333333"/>
        </w:rPr>
        <w:t xml:space="preserve">outstanding performance, as indicated in annual reviews (UHAP 3.3.03.E).  </w:t>
      </w:r>
    </w:p>
    <w:p w14:paraId="347F6A46" w14:textId="77777777" w:rsidR="00CA5212" w:rsidRPr="006D4A5B" w:rsidRDefault="00CA5212" w:rsidP="006D4A5B">
      <w:pPr>
        <w:spacing w:after="240" w:line="240" w:lineRule="auto"/>
        <w:jc w:val="center"/>
        <w:rPr>
          <w:rFonts w:asciiTheme="majorHAnsi" w:eastAsia="Calibri" w:hAnsiTheme="majorHAnsi" w:cstheme="majorHAnsi"/>
          <w:b/>
          <w:sz w:val="16"/>
          <w:szCs w:val="16"/>
        </w:rPr>
      </w:pPr>
    </w:p>
    <w:p w14:paraId="3C2D63E1" w14:textId="58D668CD" w:rsidR="00865471" w:rsidRPr="00EB647C" w:rsidRDefault="0068674F" w:rsidP="006D4A5B">
      <w:pPr>
        <w:spacing w:after="240" w:line="240" w:lineRule="auto"/>
        <w:jc w:val="center"/>
        <w:rPr>
          <w:rFonts w:asciiTheme="majorHAnsi" w:eastAsia="Calibri" w:hAnsiTheme="majorHAnsi" w:cstheme="majorHAnsi"/>
          <w:b/>
        </w:rPr>
      </w:pPr>
      <w:r w:rsidRPr="00EB647C">
        <w:rPr>
          <w:rFonts w:asciiTheme="majorHAnsi" w:eastAsia="Calibri" w:hAnsiTheme="majorHAnsi" w:cstheme="majorHAnsi"/>
          <w:b/>
        </w:rPr>
        <w:t>CRITERIA FOR PROMOTION BY RANK</w:t>
      </w:r>
    </w:p>
    <w:p w14:paraId="0330F485" w14:textId="77777777" w:rsidR="00562B26" w:rsidRPr="00EB647C" w:rsidRDefault="00562B26" w:rsidP="006D4A5B">
      <w:pPr>
        <w:pStyle w:val="Normal1"/>
        <w:pBdr>
          <w:bottom w:val="single" w:sz="4" w:space="1" w:color="auto"/>
        </w:pBdr>
        <w:spacing w:after="240" w:line="240" w:lineRule="auto"/>
        <w:ind w:right="320"/>
        <w:rPr>
          <w:rFonts w:asciiTheme="majorHAnsi" w:eastAsia="Calibri" w:hAnsiTheme="majorHAnsi" w:cstheme="majorHAnsi"/>
          <w:b/>
          <w:sz w:val="12"/>
        </w:rPr>
      </w:pPr>
    </w:p>
    <w:p w14:paraId="679BE340" w14:textId="5D332E8D" w:rsidR="00865471" w:rsidRPr="00EB647C" w:rsidRDefault="0068674F" w:rsidP="006D4A5B">
      <w:pPr>
        <w:pStyle w:val="Normal1"/>
        <w:spacing w:after="240" w:line="240" w:lineRule="auto"/>
        <w:ind w:right="320"/>
        <w:rPr>
          <w:rFonts w:asciiTheme="majorHAnsi" w:eastAsia="Calibri" w:hAnsiTheme="majorHAnsi" w:cstheme="majorHAnsi"/>
          <w:color w:val="0F0F0F"/>
        </w:rPr>
      </w:pPr>
      <w:r w:rsidRPr="00EB647C">
        <w:rPr>
          <w:rFonts w:asciiTheme="majorHAnsi" w:eastAsia="Calibri" w:hAnsiTheme="majorHAnsi" w:cstheme="majorHAnsi"/>
          <w:color w:val="0F0F0F"/>
        </w:rPr>
        <w:t xml:space="preserve">According to </w:t>
      </w:r>
      <w:hyperlink r:id="rId10">
        <w:r w:rsidRPr="00EB647C">
          <w:rPr>
            <w:rFonts w:asciiTheme="majorHAnsi" w:eastAsia="Calibri" w:hAnsiTheme="majorHAnsi" w:cstheme="majorHAnsi"/>
            <w:color w:val="1155CC"/>
            <w:u w:val="single"/>
          </w:rPr>
          <w:t>UHAP 3.3.03.b</w:t>
        </w:r>
      </w:hyperlink>
      <w:r w:rsidRPr="00EB647C">
        <w:rPr>
          <w:rFonts w:asciiTheme="majorHAnsi" w:eastAsia="Calibri" w:hAnsiTheme="majorHAnsi" w:cstheme="majorHAnsi"/>
          <w:color w:val="0F0F0F"/>
        </w:rPr>
        <w:t>, promotion requires excellent</w:t>
      </w:r>
      <w:r w:rsidR="00562B26" w:rsidRPr="00EB647C">
        <w:rPr>
          <w:rFonts w:asciiTheme="majorHAnsi" w:eastAsia="Calibri" w:hAnsiTheme="majorHAnsi" w:cstheme="majorHAnsi"/>
          <w:color w:val="0F0F0F"/>
        </w:rPr>
        <w:t xml:space="preserve"> performance and the promise of </w:t>
      </w:r>
      <w:r w:rsidRPr="00EB647C">
        <w:rPr>
          <w:rFonts w:asciiTheme="majorHAnsi" w:eastAsia="Calibri" w:hAnsiTheme="majorHAnsi" w:cstheme="majorHAnsi"/>
          <w:color w:val="0F0F0F"/>
        </w:rPr>
        <w:t xml:space="preserve">continued excellence as determined by the </w:t>
      </w:r>
      <w:r w:rsidR="006F13D9" w:rsidRPr="00EB647C">
        <w:rPr>
          <w:rFonts w:asciiTheme="majorHAnsi" w:eastAsia="Calibri" w:hAnsiTheme="majorHAnsi" w:cstheme="majorHAnsi"/>
          <w:color w:val="0F0F0F"/>
        </w:rPr>
        <w:t xml:space="preserve">specific duties assigned to </w:t>
      </w:r>
      <w:r w:rsidRPr="00EB647C">
        <w:rPr>
          <w:rFonts w:asciiTheme="majorHAnsi" w:eastAsia="Calibri" w:hAnsiTheme="majorHAnsi" w:cstheme="majorHAnsi"/>
          <w:color w:val="0F0F0F"/>
        </w:rPr>
        <w:t>individual faculty member</w:t>
      </w:r>
      <w:r w:rsidR="006F13D9" w:rsidRPr="00EB647C">
        <w:rPr>
          <w:rFonts w:asciiTheme="majorHAnsi" w:eastAsia="Calibri" w:hAnsiTheme="majorHAnsi" w:cstheme="majorHAnsi"/>
          <w:color w:val="0F0F0F"/>
        </w:rPr>
        <w:t>s</w:t>
      </w:r>
      <w:r w:rsidRPr="00EB647C">
        <w:rPr>
          <w:rFonts w:asciiTheme="majorHAnsi" w:eastAsia="Calibri" w:hAnsiTheme="majorHAnsi" w:cstheme="majorHAnsi"/>
          <w:color w:val="0F0F0F"/>
        </w:rPr>
        <w:t xml:space="preserve">. ABOR section 6-201(I)(4)(a) notes that </w:t>
      </w:r>
      <w:r w:rsidR="0070628E" w:rsidRPr="00EB647C">
        <w:rPr>
          <w:rFonts w:asciiTheme="majorHAnsi" w:eastAsia="Calibri" w:hAnsiTheme="majorHAnsi" w:cstheme="majorHAnsi"/>
          <w:color w:val="0F0F0F"/>
        </w:rPr>
        <w:t xml:space="preserve">criteria for evaluation </w:t>
      </w:r>
      <w:r w:rsidR="0099488B" w:rsidRPr="00EB647C">
        <w:rPr>
          <w:rFonts w:asciiTheme="majorHAnsi" w:eastAsia="Calibri" w:hAnsiTheme="majorHAnsi" w:cstheme="majorHAnsi"/>
          <w:color w:val="0F0F0F"/>
        </w:rPr>
        <w:t>should consider</w:t>
      </w:r>
      <w:r w:rsidR="0070628E" w:rsidRPr="00EB647C">
        <w:rPr>
          <w:rFonts w:asciiTheme="majorHAnsi" w:eastAsia="Calibri" w:hAnsiTheme="majorHAnsi" w:cstheme="majorHAnsi"/>
          <w:color w:val="0F0F0F"/>
        </w:rPr>
        <w:t xml:space="preserve"> teaching effectiveness; quality of service to the profession, university, and community</w:t>
      </w:r>
      <w:r w:rsidR="0099488B" w:rsidRPr="00EB647C">
        <w:rPr>
          <w:rFonts w:asciiTheme="majorHAnsi" w:eastAsia="Calibri" w:hAnsiTheme="majorHAnsi" w:cstheme="majorHAnsi"/>
          <w:color w:val="0F0F0F"/>
        </w:rPr>
        <w:t>; and the quality of scholarly research, publication, or creative endeavors—if the faculty member has assigned research duties</w:t>
      </w:r>
      <w:r w:rsidR="0070628E" w:rsidRPr="00EB647C">
        <w:rPr>
          <w:rFonts w:asciiTheme="majorHAnsi" w:eastAsia="Calibri" w:hAnsiTheme="majorHAnsi" w:cstheme="majorHAnsi"/>
          <w:color w:val="0F0F0F"/>
        </w:rPr>
        <w:t>.</w:t>
      </w:r>
      <w:r w:rsidRPr="00EB647C">
        <w:rPr>
          <w:rFonts w:asciiTheme="majorHAnsi" w:eastAsia="Calibri" w:hAnsiTheme="majorHAnsi" w:cstheme="majorHAnsi"/>
          <w:color w:val="0F0F0F"/>
        </w:rPr>
        <w:t xml:space="preserve"> </w:t>
      </w:r>
      <w:r w:rsidR="006F13D9" w:rsidRPr="00EB647C">
        <w:rPr>
          <w:rFonts w:asciiTheme="majorHAnsi" w:eastAsia="Calibri" w:hAnsiTheme="majorHAnsi" w:cstheme="majorHAnsi"/>
          <w:color w:val="0F0F0F"/>
        </w:rPr>
        <w:t xml:space="preserve"> Research is</w:t>
      </w:r>
      <w:r w:rsidR="0099488B" w:rsidRPr="00EB647C">
        <w:rPr>
          <w:rFonts w:asciiTheme="majorHAnsi" w:eastAsia="Calibri" w:hAnsiTheme="majorHAnsi" w:cstheme="majorHAnsi"/>
          <w:color w:val="0F0F0F"/>
        </w:rPr>
        <w:t xml:space="preserve"> also integral </w:t>
      </w:r>
      <w:r w:rsidR="006F13D9" w:rsidRPr="00EB647C">
        <w:rPr>
          <w:rFonts w:asciiTheme="majorHAnsi" w:eastAsia="Calibri" w:hAnsiTheme="majorHAnsi" w:cstheme="majorHAnsi"/>
          <w:color w:val="0F0F0F"/>
        </w:rPr>
        <w:t xml:space="preserve">to </w:t>
      </w:r>
      <w:r w:rsidR="0099488B" w:rsidRPr="00EB647C">
        <w:rPr>
          <w:rFonts w:asciiTheme="majorHAnsi" w:eastAsia="Calibri" w:hAnsiTheme="majorHAnsi" w:cstheme="majorHAnsi"/>
          <w:color w:val="0F0F0F"/>
        </w:rPr>
        <w:t>the sch</w:t>
      </w:r>
      <w:r w:rsidR="00BD76FD" w:rsidRPr="00EB647C">
        <w:rPr>
          <w:rFonts w:asciiTheme="majorHAnsi" w:eastAsia="Calibri" w:hAnsiTheme="majorHAnsi" w:cstheme="majorHAnsi"/>
          <w:color w:val="0F0F0F"/>
        </w:rPr>
        <w:t>olarship of teaching and the scholarship of engagement</w:t>
      </w:r>
      <w:r w:rsidR="0099488B" w:rsidRPr="00EB647C">
        <w:rPr>
          <w:rFonts w:asciiTheme="majorHAnsi" w:eastAsia="Calibri" w:hAnsiTheme="majorHAnsi" w:cstheme="majorHAnsi"/>
          <w:color w:val="0F0F0F"/>
        </w:rPr>
        <w:t>, as recognized by th</w:t>
      </w:r>
      <w:r w:rsidR="00562B26" w:rsidRPr="00EB647C">
        <w:rPr>
          <w:rFonts w:asciiTheme="majorHAnsi" w:eastAsia="Calibri" w:hAnsiTheme="majorHAnsi" w:cstheme="majorHAnsi"/>
          <w:color w:val="0F0F0F"/>
        </w:rPr>
        <w:t xml:space="preserve">e </w:t>
      </w:r>
      <w:hyperlink r:id="rId11" w:history="1">
        <w:r w:rsidR="00562B26" w:rsidRPr="00EB647C">
          <w:rPr>
            <w:rStyle w:val="Hyperlink"/>
            <w:rFonts w:asciiTheme="majorHAnsi" w:eastAsia="Calibri" w:hAnsiTheme="majorHAnsi" w:cstheme="majorHAnsi"/>
          </w:rPr>
          <w:t xml:space="preserve">University’s </w:t>
        </w:r>
        <w:r w:rsidR="006F13D9" w:rsidRPr="00EB647C">
          <w:rPr>
            <w:rStyle w:val="Hyperlink"/>
            <w:rFonts w:asciiTheme="majorHAnsi" w:eastAsia="Calibri" w:hAnsiTheme="majorHAnsi" w:cstheme="majorHAnsi"/>
          </w:rPr>
          <w:t>inclusive view of scholarship</w:t>
        </w:r>
      </w:hyperlink>
      <w:r w:rsidR="00701BCA" w:rsidRPr="00EB647C">
        <w:rPr>
          <w:rFonts w:asciiTheme="majorHAnsi" w:eastAsia="Calibri" w:hAnsiTheme="majorHAnsi" w:cstheme="majorHAnsi"/>
          <w:color w:val="0F0F0F"/>
        </w:rPr>
        <w:t>.</w:t>
      </w:r>
    </w:p>
    <w:p w14:paraId="6A0852BB" w14:textId="7FE7692E" w:rsidR="00652B02" w:rsidRPr="00EB647C" w:rsidRDefault="00652B02" w:rsidP="006D4A5B">
      <w:pPr>
        <w:spacing w:line="240" w:lineRule="auto"/>
        <w:rPr>
          <w:rFonts w:asciiTheme="majorHAnsi" w:hAnsiTheme="majorHAnsi" w:cstheme="majorHAnsi"/>
        </w:rPr>
      </w:pPr>
      <w:r w:rsidRPr="00EB647C">
        <w:rPr>
          <w:rFonts w:asciiTheme="majorHAnsi" w:hAnsiTheme="majorHAnsi" w:cstheme="majorHAnsi"/>
          <w:b/>
        </w:rPr>
        <w:t>TEACHING</w:t>
      </w:r>
      <w:r w:rsidRPr="00EB647C">
        <w:rPr>
          <w:rFonts w:asciiTheme="majorHAnsi" w:hAnsiTheme="majorHAnsi" w:cstheme="majorHAnsi"/>
        </w:rPr>
        <w:t xml:space="preserve"> </w:t>
      </w:r>
      <w:r w:rsidRPr="00EB647C">
        <w:rPr>
          <w:rFonts w:asciiTheme="majorHAnsi" w:hAnsiTheme="majorHAnsi" w:cstheme="majorHAnsi"/>
        </w:rPr>
        <w:br/>
        <w:t>Candidates must present evidence of successful teaching appropriate to the unit’s mission, including lower</w:t>
      </w:r>
      <w:r w:rsidR="00635A46">
        <w:rPr>
          <w:rFonts w:asciiTheme="majorHAnsi" w:hAnsiTheme="majorHAnsi" w:cstheme="majorHAnsi"/>
        </w:rPr>
        <w:t>-</w:t>
      </w:r>
      <w:r w:rsidRPr="00EB647C">
        <w:rPr>
          <w:rFonts w:asciiTheme="majorHAnsi" w:hAnsiTheme="majorHAnsi" w:cstheme="majorHAnsi"/>
        </w:rPr>
        <w:t>division, upper</w:t>
      </w:r>
      <w:r w:rsidR="00635A46">
        <w:rPr>
          <w:rFonts w:asciiTheme="majorHAnsi" w:hAnsiTheme="majorHAnsi" w:cstheme="majorHAnsi"/>
        </w:rPr>
        <w:t>-</w:t>
      </w:r>
      <w:r w:rsidRPr="00EB647C">
        <w:rPr>
          <w:rFonts w:asciiTheme="majorHAnsi" w:hAnsiTheme="majorHAnsi" w:cstheme="majorHAnsi"/>
        </w:rPr>
        <w:t>division, and gra</w:t>
      </w:r>
      <w:r w:rsidR="00635A46">
        <w:rPr>
          <w:rFonts w:asciiTheme="majorHAnsi" w:hAnsiTheme="majorHAnsi" w:cstheme="majorHAnsi"/>
        </w:rPr>
        <w:t>duate courses (when included in candidates’ workload assignments)</w:t>
      </w:r>
      <w:r w:rsidRPr="00EB647C">
        <w:rPr>
          <w:rFonts w:asciiTheme="majorHAnsi" w:hAnsiTheme="majorHAnsi" w:cstheme="majorHAnsi"/>
        </w:rPr>
        <w:t xml:space="preserve">. In meeting the standard of excellence in teaching, consideration </w:t>
      </w:r>
      <w:proofErr w:type="gramStart"/>
      <w:r w:rsidRPr="00EB647C">
        <w:rPr>
          <w:rFonts w:asciiTheme="majorHAnsi" w:hAnsiTheme="majorHAnsi" w:cstheme="majorHAnsi"/>
        </w:rPr>
        <w:t>should be given</w:t>
      </w:r>
      <w:proofErr w:type="gramEnd"/>
      <w:r w:rsidRPr="00EB647C">
        <w:rPr>
          <w:rFonts w:asciiTheme="majorHAnsi" w:hAnsiTheme="majorHAnsi" w:cstheme="majorHAnsi"/>
        </w:rPr>
        <w:t xml:space="preserve"> to </w:t>
      </w:r>
      <w:r w:rsidR="00635A46">
        <w:rPr>
          <w:rFonts w:asciiTheme="majorHAnsi" w:hAnsiTheme="majorHAnsi" w:cstheme="majorHAnsi"/>
        </w:rPr>
        <w:t>the candidates’ ongoing efforts to improve their teaching</w:t>
      </w:r>
      <w:r w:rsidRPr="00EB647C">
        <w:rPr>
          <w:rFonts w:asciiTheme="majorHAnsi" w:hAnsiTheme="majorHAnsi" w:cstheme="majorHAnsi"/>
        </w:rPr>
        <w:t xml:space="preserve">. The required evaluation of teaching for promotion must have two major components, peer review and student </w:t>
      </w:r>
      <w:r w:rsidR="00635A46">
        <w:rPr>
          <w:rFonts w:asciiTheme="majorHAnsi" w:hAnsiTheme="majorHAnsi" w:cstheme="majorHAnsi"/>
        </w:rPr>
        <w:t>feedback</w:t>
      </w:r>
      <w:r w:rsidRPr="00EB647C">
        <w:rPr>
          <w:rFonts w:asciiTheme="majorHAnsi" w:hAnsiTheme="majorHAnsi" w:cstheme="majorHAnsi"/>
        </w:rPr>
        <w:t xml:space="preserve">. </w:t>
      </w:r>
    </w:p>
    <w:p w14:paraId="11AB220D" w14:textId="6BBAFEAC" w:rsidR="00652B02" w:rsidRPr="00EB647C" w:rsidRDefault="00652B02" w:rsidP="006D4A5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360"/>
        <w:rPr>
          <w:rFonts w:asciiTheme="majorHAnsi" w:hAnsiTheme="majorHAnsi" w:cstheme="majorHAnsi"/>
        </w:rPr>
      </w:pPr>
      <w:r w:rsidRPr="00635A46">
        <w:rPr>
          <w:rFonts w:asciiTheme="majorHAnsi" w:hAnsiTheme="majorHAnsi" w:cstheme="majorHAnsi"/>
          <w:b/>
        </w:rPr>
        <w:t>Peer Review</w:t>
      </w:r>
      <w:r w:rsidRPr="00EB647C">
        <w:rPr>
          <w:rFonts w:asciiTheme="majorHAnsi" w:hAnsiTheme="majorHAnsi" w:cstheme="majorHAnsi"/>
        </w:rPr>
        <w:t xml:space="preserve">: Academic units must make provisions for peer review for faculty </w:t>
      </w:r>
      <w:proofErr w:type="gramStart"/>
      <w:r w:rsidRPr="00EB647C">
        <w:rPr>
          <w:rFonts w:asciiTheme="majorHAnsi" w:hAnsiTheme="majorHAnsi" w:cstheme="majorHAnsi"/>
        </w:rPr>
        <w:t>being considered</w:t>
      </w:r>
      <w:proofErr w:type="gramEnd"/>
      <w:r w:rsidRPr="00EB647C">
        <w:rPr>
          <w:rFonts w:asciiTheme="majorHAnsi" w:hAnsiTheme="majorHAnsi" w:cstheme="majorHAnsi"/>
        </w:rPr>
        <w:t xml:space="preserve"> for promotion, including at least one course observation. Materials for this observation are available through the Office of Instruction and Assessment, which has developed a variety of tools to guide UA faculty conducting a peer review of teaching, in including in face-to-face and online courses. See </w:t>
      </w:r>
      <w:hyperlink r:id="rId12" w:history="1">
        <w:r w:rsidRPr="00EB647C">
          <w:rPr>
            <w:rStyle w:val="Hyperlink"/>
            <w:rFonts w:asciiTheme="majorHAnsi" w:hAnsiTheme="majorHAnsi" w:cstheme="majorHAnsi"/>
          </w:rPr>
          <w:t>http://teachingprotocol.oia.arizona.edu/</w:t>
        </w:r>
      </w:hyperlink>
      <w:r w:rsidRPr="00EB647C">
        <w:rPr>
          <w:rFonts w:asciiTheme="majorHAnsi" w:hAnsiTheme="majorHAnsi" w:cstheme="majorHAnsi"/>
        </w:rPr>
        <w:t xml:space="preserve">. </w:t>
      </w:r>
      <w:r w:rsidR="00E6496F">
        <w:rPr>
          <w:rFonts w:asciiTheme="majorHAnsi" w:hAnsiTheme="majorHAnsi" w:cstheme="majorHAnsi"/>
        </w:rPr>
        <w:br/>
      </w:r>
    </w:p>
    <w:p w14:paraId="6E148811" w14:textId="77777777" w:rsidR="00F46804" w:rsidRDefault="00652B02" w:rsidP="006D4A5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360"/>
        <w:rPr>
          <w:rFonts w:ascii="Calibri" w:hAnsi="Calibri" w:cs="Calibri"/>
          <w:b/>
        </w:rPr>
      </w:pPr>
      <w:r w:rsidRPr="00F46804">
        <w:rPr>
          <w:rFonts w:asciiTheme="majorHAnsi" w:hAnsiTheme="majorHAnsi" w:cstheme="majorHAnsi"/>
          <w:b/>
        </w:rPr>
        <w:lastRenderedPageBreak/>
        <w:t xml:space="preserve">Student </w:t>
      </w:r>
      <w:r w:rsidR="00635A46" w:rsidRPr="00F46804">
        <w:rPr>
          <w:rFonts w:asciiTheme="majorHAnsi" w:hAnsiTheme="majorHAnsi" w:cstheme="majorHAnsi"/>
          <w:b/>
        </w:rPr>
        <w:t>Feedback on Teaching</w:t>
      </w:r>
      <w:r w:rsidRPr="00F46804">
        <w:rPr>
          <w:rFonts w:asciiTheme="majorHAnsi" w:hAnsiTheme="majorHAnsi" w:cstheme="majorHAnsi"/>
        </w:rPr>
        <w:t>: CT faculty should use the university Teacher-Cours</w:t>
      </w:r>
      <w:r w:rsidR="00635A46" w:rsidRPr="00F46804">
        <w:rPr>
          <w:rFonts w:asciiTheme="majorHAnsi" w:hAnsiTheme="majorHAnsi" w:cstheme="majorHAnsi"/>
        </w:rPr>
        <w:t>e</w:t>
      </w:r>
      <w:r w:rsidRPr="00F46804">
        <w:rPr>
          <w:rFonts w:asciiTheme="majorHAnsi" w:hAnsiTheme="majorHAnsi" w:cstheme="majorHAnsi"/>
        </w:rPr>
        <w:t xml:space="preserve"> Evaluation forms for the student surveys. </w:t>
      </w:r>
      <w:r w:rsidRPr="00F46804">
        <w:rPr>
          <w:rFonts w:asciiTheme="majorHAnsi" w:hAnsiTheme="majorHAnsi" w:cstheme="majorHAnsi"/>
        </w:rPr>
        <w:br/>
      </w:r>
    </w:p>
    <w:p w14:paraId="303AC4F2" w14:textId="6A2A2684" w:rsidR="00652B02" w:rsidRPr="00F46804" w:rsidRDefault="00652B02" w:rsidP="006D4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hAnsi="Calibri" w:cs="Calibri"/>
          <w:b/>
        </w:rPr>
      </w:pPr>
      <w:r w:rsidRPr="00F46804">
        <w:rPr>
          <w:rFonts w:ascii="Calibri" w:hAnsi="Calibri" w:cs="Calibri"/>
          <w:b/>
        </w:rPr>
        <w:t>Excellence in teaching may include, but is not limited to</w:t>
      </w:r>
    </w:p>
    <w:p w14:paraId="59A23461" w14:textId="5CFB1B7A" w:rsidR="00652B02" w:rsidRPr="00080121" w:rsidRDefault="00652B02" w:rsidP="006D4A5B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num" w:pos="360"/>
        </w:tabs>
        <w:spacing w:line="240" w:lineRule="auto"/>
        <w:ind w:left="360"/>
        <w:rPr>
          <w:rFonts w:ascii="Calibri" w:hAnsi="Calibri" w:cs="Calibri"/>
        </w:rPr>
      </w:pPr>
      <w:r w:rsidRPr="00080121">
        <w:rPr>
          <w:rFonts w:ascii="Calibri" w:hAnsi="Calibri" w:cs="Calibri"/>
        </w:rPr>
        <w:t>organizing and conducting courses appropriate to the level of instruction and the nature of the subject matter;</w:t>
      </w:r>
    </w:p>
    <w:p w14:paraId="3EC05D7B" w14:textId="77777777" w:rsidR="00652B02" w:rsidRPr="00080121" w:rsidRDefault="00652B02" w:rsidP="006D4A5B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num" w:pos="360"/>
        </w:tabs>
        <w:spacing w:line="240" w:lineRule="auto"/>
        <w:ind w:left="360"/>
        <w:rPr>
          <w:rFonts w:ascii="Calibri" w:hAnsi="Calibri" w:cs="Calibri"/>
        </w:rPr>
      </w:pPr>
      <w:r w:rsidRPr="00080121">
        <w:rPr>
          <w:rFonts w:ascii="Calibri" w:hAnsi="Calibri" w:cs="Calibri"/>
        </w:rPr>
        <w:t>bringing to the classroom, and other learning environments, the latest discoveries, techniques and pedagogical approaches;</w:t>
      </w:r>
    </w:p>
    <w:p w14:paraId="74CF1544" w14:textId="77777777" w:rsidR="00652B02" w:rsidRPr="00080121" w:rsidRDefault="00652B02" w:rsidP="006D4A5B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num" w:pos="360"/>
        </w:tabs>
        <w:spacing w:line="240" w:lineRule="auto"/>
        <w:ind w:left="360"/>
        <w:rPr>
          <w:rFonts w:ascii="Calibri" w:hAnsi="Calibri" w:cs="Calibri"/>
        </w:rPr>
      </w:pPr>
      <w:r w:rsidRPr="00080121">
        <w:rPr>
          <w:rFonts w:ascii="Calibri" w:hAnsi="Calibri" w:cs="Calibri"/>
        </w:rPr>
        <w:t>engaging students, according to their capacities, in the current discourse and debates within a field;</w:t>
      </w:r>
    </w:p>
    <w:p w14:paraId="476FCCE3" w14:textId="4A8DC4EF" w:rsidR="00652B02" w:rsidRPr="00080121" w:rsidRDefault="00652B02" w:rsidP="006D4A5B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num" w:pos="360"/>
        </w:tabs>
        <w:spacing w:line="240" w:lineRule="auto"/>
        <w:ind w:left="360"/>
        <w:rPr>
          <w:rFonts w:ascii="Calibri" w:hAnsi="Calibri" w:cs="Calibri"/>
        </w:rPr>
      </w:pPr>
      <w:r w:rsidRPr="00080121">
        <w:rPr>
          <w:rFonts w:ascii="Calibri" w:hAnsi="Calibri" w:cs="Calibri"/>
        </w:rPr>
        <w:t>enabling students to articulate issues and solve problems on their own;</w:t>
      </w:r>
      <w:r w:rsidR="00AF1544">
        <w:rPr>
          <w:rFonts w:ascii="Calibri" w:hAnsi="Calibri" w:cs="Calibri"/>
        </w:rPr>
        <w:t xml:space="preserve"> and</w:t>
      </w:r>
    </w:p>
    <w:p w14:paraId="2713EB9F" w14:textId="77777777" w:rsidR="00652B02" w:rsidRPr="00080121" w:rsidRDefault="00652B02" w:rsidP="006D4A5B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num" w:pos="360"/>
        </w:tabs>
        <w:spacing w:line="240" w:lineRule="auto"/>
        <w:ind w:left="360"/>
        <w:rPr>
          <w:rFonts w:ascii="Calibri" w:hAnsi="Calibri" w:cs="Calibri"/>
        </w:rPr>
      </w:pPr>
      <w:r w:rsidRPr="00080121">
        <w:rPr>
          <w:rFonts w:ascii="Calibri" w:hAnsi="Calibri" w:cs="Calibri"/>
        </w:rPr>
        <w:t>being available outside the classroom for further instruction and advice;</w:t>
      </w:r>
    </w:p>
    <w:p w14:paraId="3764BD8E" w14:textId="6C025AFB" w:rsidR="00652B02" w:rsidRPr="008D0015" w:rsidRDefault="008D0015" w:rsidP="006D4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spacing w:line="240" w:lineRule="auto"/>
        <w:rPr>
          <w:rFonts w:ascii="Calibri" w:hAnsi="Calibri" w:cs="Calibri"/>
        </w:rPr>
      </w:pPr>
      <w:r w:rsidRPr="00652B02">
        <w:rPr>
          <w:rFonts w:ascii="Calibri" w:hAnsi="Calibri" w:cs="Calibri"/>
          <w:b/>
          <w:i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4A021" wp14:editId="26066E2B">
                <wp:simplePos x="0" y="0"/>
                <wp:positionH relativeFrom="margin">
                  <wp:posOffset>-27295</wp:posOffset>
                </wp:positionH>
                <wp:positionV relativeFrom="paragraph">
                  <wp:posOffset>251062</wp:posOffset>
                </wp:positionV>
                <wp:extent cx="6200775" cy="1312545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312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DFFDF" w14:textId="5E0D4D86" w:rsidR="00652B02" w:rsidRDefault="00652B02" w:rsidP="00652B0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80" w:after="80" w:line="240" w:lineRule="auto"/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For </w:t>
                            </w:r>
                            <w:r w:rsidRPr="00080121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promotion to the highest rank (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Principal</w:t>
                            </w:r>
                            <w:r w:rsidRPr="00080121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Lecturer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) additional i</w:t>
                            </w:r>
                            <w:r w:rsidR="008D0015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tems under TEACHING may include</w:t>
                            </w:r>
                          </w:p>
                          <w:p w14:paraId="7F7DBF9D" w14:textId="24B4E685" w:rsidR="00652B02" w:rsidRDefault="00652B02" w:rsidP="00652B0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before="80" w:after="8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652B02">
                              <w:rPr>
                                <w:rFonts w:ascii="Calibri" w:hAnsi="Calibri" w:cs="Calibri"/>
                              </w:rPr>
                              <w:t>a leadership role in developing curricula</w:t>
                            </w:r>
                            <w:r w:rsidR="008D0015">
                              <w:rPr>
                                <w:rFonts w:ascii="Calibri" w:hAnsi="Calibri" w:cs="Calibri"/>
                              </w:rPr>
                              <w:t>,</w:t>
                            </w:r>
                          </w:p>
                          <w:p w14:paraId="162CE451" w14:textId="13E4F9AE" w:rsidR="00652B02" w:rsidRDefault="00652B02" w:rsidP="00652B0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before="80" w:after="8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652B02">
                              <w:rPr>
                                <w:rFonts w:ascii="Calibri" w:hAnsi="Calibri" w:cs="Calibri"/>
                              </w:rPr>
                              <w:t>providing evaluation of the teaching effectiveness of other faculty</w:t>
                            </w:r>
                            <w:r w:rsidR="008D0015">
                              <w:rPr>
                                <w:rFonts w:ascii="Calibri" w:hAnsi="Calibri" w:cs="Calibri"/>
                              </w:rPr>
                              <w:t>, and</w:t>
                            </w:r>
                          </w:p>
                          <w:p w14:paraId="4A7F67E8" w14:textId="524B3458" w:rsidR="00652B02" w:rsidRPr="00652B02" w:rsidRDefault="00652B02" w:rsidP="00652B0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before="80" w:after="80" w:line="240" w:lineRule="auto"/>
                              <w:rPr>
                                <w:rFonts w:ascii="Calibri" w:hAnsi="Calibri" w:cs="Calibri"/>
                              </w:rPr>
                            </w:pPr>
                            <w:proofErr w:type="gramStart"/>
                            <w:r w:rsidRPr="00652B02">
                              <w:rPr>
                                <w:rFonts w:ascii="Calibri" w:hAnsi="Calibri" w:cs="Calibri"/>
                              </w:rPr>
                              <w:t>contributing</w:t>
                            </w:r>
                            <w:proofErr w:type="gramEnd"/>
                            <w:r w:rsidRPr="00652B02">
                              <w:rPr>
                                <w:rFonts w:ascii="Calibri" w:hAnsi="Calibri" w:cs="Calibri"/>
                              </w:rPr>
                              <w:t xml:space="preserve"> to more effective unit teaching approaches</w:t>
                            </w:r>
                            <w:r w:rsidR="008D001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34A0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15pt;margin-top:19.75pt;width:488.25pt;height:103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" fillcolor="#d8d8d8 [2732]">
                <v:textbox style="mso-fit-shape-to-text:t">
                  <w:txbxContent>
                    <w:p w14:paraId="02EDFFDF" w14:textId="5E0D4D86" w:rsidR="00652B02" w:rsidRDefault="00652B02" w:rsidP="00652B0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before="80" w:after="80" w:line="240" w:lineRule="auto"/>
                        <w:rPr>
                          <w:rFonts w:ascii="Calibri" w:hAnsi="Calibri" w:cs="Calibri"/>
                          <w:b/>
                          <w:i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For </w:t>
                      </w:r>
                      <w:r w:rsidRPr="00080121">
                        <w:rPr>
                          <w:rFonts w:ascii="Calibri" w:hAnsi="Calibri" w:cs="Calibri"/>
                          <w:b/>
                          <w:i/>
                        </w:rPr>
                        <w:t>promotion to the highest rank (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>Principal</w:t>
                      </w:r>
                      <w:r w:rsidRPr="00080121">
                        <w:rPr>
                          <w:rFonts w:ascii="Calibri" w:hAnsi="Calibri" w:cs="Calibri"/>
                          <w:b/>
                          <w:i/>
                        </w:rPr>
                        <w:t xml:space="preserve"> Lecturer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>) additional i</w:t>
                      </w:r>
                      <w:r w:rsidR="008D0015">
                        <w:rPr>
                          <w:rFonts w:ascii="Calibri" w:hAnsi="Calibri" w:cs="Calibri"/>
                          <w:b/>
                          <w:i/>
                        </w:rPr>
                        <w:t>tems under TEACHING may include</w:t>
                      </w:r>
                    </w:p>
                    <w:p w14:paraId="7F7DBF9D" w14:textId="24B4E685" w:rsidR="00652B02" w:rsidRDefault="00652B02" w:rsidP="00652B0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before="80" w:after="80" w:line="240" w:lineRule="auto"/>
                        <w:rPr>
                          <w:rFonts w:ascii="Calibri" w:hAnsi="Calibri" w:cs="Calibri"/>
                        </w:rPr>
                      </w:pPr>
                      <w:r w:rsidRPr="00652B02">
                        <w:rPr>
                          <w:rFonts w:ascii="Calibri" w:hAnsi="Calibri" w:cs="Calibri"/>
                        </w:rPr>
                        <w:t>a leadership role in developing curricula</w:t>
                      </w:r>
                      <w:r w:rsidR="008D0015">
                        <w:rPr>
                          <w:rFonts w:ascii="Calibri" w:hAnsi="Calibri" w:cs="Calibri"/>
                        </w:rPr>
                        <w:t>,</w:t>
                      </w:r>
                    </w:p>
                    <w:p w14:paraId="162CE451" w14:textId="13E4F9AE" w:rsidR="00652B02" w:rsidRDefault="00652B02" w:rsidP="00652B0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before="80" w:after="80" w:line="240" w:lineRule="auto"/>
                        <w:rPr>
                          <w:rFonts w:ascii="Calibri" w:hAnsi="Calibri" w:cs="Calibri"/>
                        </w:rPr>
                      </w:pPr>
                      <w:r w:rsidRPr="00652B02">
                        <w:rPr>
                          <w:rFonts w:ascii="Calibri" w:hAnsi="Calibri" w:cs="Calibri"/>
                        </w:rPr>
                        <w:t>providing evaluation of the teaching effectiveness of other faculty</w:t>
                      </w:r>
                      <w:r w:rsidR="008D0015">
                        <w:rPr>
                          <w:rFonts w:ascii="Calibri" w:hAnsi="Calibri" w:cs="Calibri"/>
                        </w:rPr>
                        <w:t>, and</w:t>
                      </w:r>
                    </w:p>
                    <w:p w14:paraId="4A7F67E8" w14:textId="524B3458" w:rsidR="00652B02" w:rsidRPr="00652B02" w:rsidRDefault="00652B02" w:rsidP="00652B0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before="80" w:after="80" w:line="240" w:lineRule="auto"/>
                        <w:rPr>
                          <w:rFonts w:ascii="Calibri" w:hAnsi="Calibri" w:cs="Calibri"/>
                        </w:rPr>
                      </w:pPr>
                      <w:proofErr w:type="gramStart"/>
                      <w:r w:rsidRPr="00652B02">
                        <w:rPr>
                          <w:rFonts w:ascii="Calibri" w:hAnsi="Calibri" w:cs="Calibri"/>
                        </w:rPr>
                        <w:t>contributing</w:t>
                      </w:r>
                      <w:proofErr w:type="gramEnd"/>
                      <w:r w:rsidRPr="00652B02">
                        <w:rPr>
                          <w:rFonts w:ascii="Calibri" w:hAnsi="Calibri" w:cs="Calibri"/>
                        </w:rPr>
                        <w:t xml:space="preserve"> to more effective unit teaching approaches</w:t>
                      </w:r>
                      <w:r w:rsidR="008D0015"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2B02" w:rsidRPr="008D0015">
        <w:rPr>
          <w:rFonts w:ascii="Calibri" w:hAnsi="Calibri" w:cs="Calibri"/>
        </w:rPr>
        <w:br/>
      </w:r>
      <w:r w:rsidR="00652B02" w:rsidRPr="008D0015">
        <w:rPr>
          <w:rFonts w:ascii="Calibri" w:hAnsi="Calibri" w:cs="Calibri"/>
          <w:b/>
        </w:rPr>
        <w:br/>
        <w:t>SERVICE/OUTREACH</w:t>
      </w:r>
      <w:r w:rsidR="00652B02" w:rsidRPr="008D0015">
        <w:rPr>
          <w:rFonts w:ascii="Calibri" w:hAnsi="Calibri" w:cs="Calibri"/>
        </w:rPr>
        <w:br/>
      </w:r>
      <w:r w:rsidR="00F46804">
        <w:rPr>
          <w:rFonts w:ascii="Calibri" w:hAnsi="Calibri" w:cs="Calibri"/>
        </w:rPr>
        <w:t>When included in assigned duties, s</w:t>
      </w:r>
      <w:r w:rsidR="00652B02" w:rsidRPr="008D0015">
        <w:rPr>
          <w:rFonts w:ascii="Calibri" w:hAnsi="Calibri" w:cs="Calibri"/>
        </w:rPr>
        <w:t>ervice</w:t>
      </w:r>
      <w:r w:rsidR="00F46804">
        <w:rPr>
          <w:rFonts w:ascii="Calibri" w:hAnsi="Calibri" w:cs="Calibri"/>
        </w:rPr>
        <w:t xml:space="preserve"> considered for promotion may</w:t>
      </w:r>
      <w:r w:rsidR="00652B02" w:rsidRPr="008D0015">
        <w:rPr>
          <w:rFonts w:ascii="Calibri" w:hAnsi="Calibri" w:cs="Calibri"/>
        </w:rPr>
        <w:t xml:space="preserve"> include</w:t>
      </w:r>
      <w:r>
        <w:rPr>
          <w:rFonts w:ascii="Calibri" w:hAnsi="Calibri" w:cs="Calibri"/>
        </w:rPr>
        <w:t xml:space="preserve"> service on program, department</w:t>
      </w:r>
      <w:r w:rsidR="00652B02" w:rsidRPr="008D0015">
        <w:rPr>
          <w:rFonts w:ascii="Calibri" w:hAnsi="Calibri" w:cs="Calibri"/>
        </w:rPr>
        <w:t xml:space="preserve">, college, and University committees; service to professional associations and on public committees where faculty disciplinary knowledge is required. </w:t>
      </w:r>
      <w:r w:rsidR="00F46804">
        <w:rPr>
          <w:rFonts w:ascii="Calibri" w:hAnsi="Calibri" w:cs="Calibri"/>
        </w:rPr>
        <w:t>In assessing such contributions, units should consider best practices in assessing t</w:t>
      </w:r>
      <w:r>
        <w:rPr>
          <w:rFonts w:ascii="Calibri" w:hAnsi="Calibri" w:cs="Calibri"/>
        </w:rPr>
        <w:t>he scholarship of teaching and the scholarship</w:t>
      </w:r>
      <w:r w:rsidR="00652B02" w:rsidRPr="008D0015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>e</w:t>
      </w:r>
      <w:r w:rsidR="00F46804">
        <w:rPr>
          <w:rFonts w:ascii="Calibri" w:hAnsi="Calibri" w:cs="Calibri"/>
        </w:rPr>
        <w:t>ngagement.  These</w:t>
      </w:r>
      <w:r w:rsidR="00652B02" w:rsidRPr="008D0015">
        <w:rPr>
          <w:rFonts w:ascii="Calibri" w:hAnsi="Calibri" w:cs="Calibri"/>
        </w:rPr>
        <w:t xml:space="preserve"> forms of </w:t>
      </w:r>
      <w:r>
        <w:rPr>
          <w:rFonts w:ascii="Calibri" w:hAnsi="Calibri" w:cs="Calibri"/>
        </w:rPr>
        <w:t xml:space="preserve">applied </w:t>
      </w:r>
      <w:r w:rsidR="00652B02" w:rsidRPr="008D0015">
        <w:rPr>
          <w:rFonts w:ascii="Calibri" w:hAnsi="Calibri" w:cs="Calibri"/>
        </w:rPr>
        <w:t>scholarship cut across teaching</w:t>
      </w:r>
      <w:r>
        <w:rPr>
          <w:rFonts w:ascii="Calibri" w:hAnsi="Calibri" w:cs="Calibri"/>
        </w:rPr>
        <w:t>, research, and service and outreach</w:t>
      </w:r>
      <w:r w:rsidR="00652B02" w:rsidRPr="008D0015">
        <w:rPr>
          <w:rFonts w:ascii="Calibri" w:hAnsi="Calibri" w:cs="Calibri"/>
        </w:rPr>
        <w:t xml:space="preserve">. They involve delivering, applying, and preserving knowledge for the direct benefit of external audiences in ways that are consistent with University and unit missions. </w:t>
      </w:r>
    </w:p>
    <w:p w14:paraId="2EC8BB97" w14:textId="0D703C74" w:rsidR="00652B02" w:rsidRPr="00080121" w:rsidRDefault="00652B02" w:rsidP="006D4A5B">
      <w:pPr>
        <w:tabs>
          <w:tab w:val="num" w:pos="0"/>
        </w:tabs>
        <w:spacing w:line="240" w:lineRule="auto"/>
        <w:rPr>
          <w:rFonts w:ascii="Calibri" w:hAnsi="Calibri" w:cs="Calibri"/>
        </w:rPr>
      </w:pPr>
    </w:p>
    <w:p w14:paraId="65D162E0" w14:textId="2FD223E2" w:rsidR="00652B02" w:rsidRPr="00080121" w:rsidRDefault="00652B02" w:rsidP="006D4A5B">
      <w:pPr>
        <w:spacing w:line="240" w:lineRule="auto"/>
        <w:rPr>
          <w:rFonts w:ascii="Calibri" w:hAnsi="Calibri" w:cs="Calibri"/>
          <w:b/>
        </w:rPr>
      </w:pPr>
      <w:r w:rsidRPr="00080121">
        <w:rPr>
          <w:rFonts w:ascii="Calibri" w:hAnsi="Calibri" w:cs="Calibri"/>
          <w:b/>
        </w:rPr>
        <w:t>Excellence in service/outreach activities may include</w:t>
      </w:r>
      <w:r w:rsidR="008D0015">
        <w:rPr>
          <w:rFonts w:ascii="Calibri" w:hAnsi="Calibri" w:cs="Calibri"/>
          <w:b/>
        </w:rPr>
        <w:t xml:space="preserve"> a range of assigned </w:t>
      </w:r>
      <w:r w:rsidR="00AF1544">
        <w:rPr>
          <w:rFonts w:ascii="Calibri" w:hAnsi="Calibri" w:cs="Calibri"/>
          <w:b/>
        </w:rPr>
        <w:t>duties if time has been set aside in workload descriptions</w:t>
      </w:r>
      <w:r w:rsidR="008D0015">
        <w:rPr>
          <w:rFonts w:ascii="Calibri" w:hAnsi="Calibri" w:cs="Calibri"/>
          <w:b/>
        </w:rPr>
        <w:t>:</w:t>
      </w:r>
    </w:p>
    <w:p w14:paraId="2CCB0F1B" w14:textId="7A35C048" w:rsidR="00652B02" w:rsidRPr="00080121" w:rsidRDefault="00652B02" w:rsidP="006D4A5B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num" w:pos="360"/>
        </w:tabs>
        <w:spacing w:line="240" w:lineRule="auto"/>
        <w:ind w:left="360"/>
        <w:rPr>
          <w:rFonts w:ascii="Calibri" w:hAnsi="Calibri" w:cs="Calibri"/>
        </w:rPr>
      </w:pPr>
      <w:r w:rsidRPr="00080121">
        <w:rPr>
          <w:rFonts w:ascii="Calibri" w:hAnsi="Calibri" w:cs="Calibri"/>
        </w:rPr>
        <w:t>serving on campus committees and teams;</w:t>
      </w:r>
    </w:p>
    <w:p w14:paraId="050F4F96" w14:textId="7BC9A1A2" w:rsidR="00652B02" w:rsidRPr="00080121" w:rsidRDefault="00652B02" w:rsidP="006D4A5B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num" w:pos="360"/>
        </w:tabs>
        <w:spacing w:line="240" w:lineRule="auto"/>
        <w:ind w:left="360"/>
        <w:rPr>
          <w:rFonts w:ascii="Calibri" w:hAnsi="Calibri" w:cs="Calibri"/>
        </w:rPr>
      </w:pPr>
      <w:r w:rsidRPr="00080121">
        <w:rPr>
          <w:rFonts w:ascii="Calibri" w:hAnsi="Calibri" w:cs="Calibri"/>
        </w:rPr>
        <w:t>actively participating in faculty governance at unit, college, or university levels;</w:t>
      </w:r>
    </w:p>
    <w:p w14:paraId="376CD9A0" w14:textId="14BA3B08" w:rsidR="00652B02" w:rsidRPr="00080121" w:rsidRDefault="00652B02" w:rsidP="006D4A5B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num" w:pos="360"/>
        </w:tabs>
        <w:spacing w:line="240" w:lineRule="auto"/>
        <w:ind w:left="360"/>
        <w:rPr>
          <w:rFonts w:ascii="Calibri" w:hAnsi="Calibri" w:cs="Calibri"/>
        </w:rPr>
      </w:pPr>
      <w:r w:rsidRPr="00080121">
        <w:rPr>
          <w:rFonts w:ascii="Calibri" w:hAnsi="Calibri" w:cs="Calibri"/>
        </w:rPr>
        <w:t>participating in activities of professional societies or organizations in one's discipline;</w:t>
      </w:r>
    </w:p>
    <w:p w14:paraId="65E5A870" w14:textId="677DF40E" w:rsidR="00652B02" w:rsidRPr="00080121" w:rsidRDefault="00652B02" w:rsidP="006D4A5B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num" w:pos="360"/>
        </w:tabs>
        <w:spacing w:line="240" w:lineRule="auto"/>
        <w:ind w:left="360"/>
        <w:rPr>
          <w:rFonts w:ascii="Calibri" w:hAnsi="Calibri" w:cs="Calibri"/>
        </w:rPr>
      </w:pPr>
      <w:r w:rsidRPr="00080121">
        <w:rPr>
          <w:rFonts w:ascii="Calibri" w:hAnsi="Calibri" w:cs="Calibri"/>
        </w:rPr>
        <w:t>presenting community lectures, workshops, trainings, or performances; bringing pedagogical innovations and knowledge outside the classroom, to communities and partners through engaged public scholarship</w:t>
      </w:r>
      <w:r w:rsidR="008D0015">
        <w:rPr>
          <w:rFonts w:ascii="Calibri" w:hAnsi="Calibri" w:cs="Calibri"/>
        </w:rPr>
        <w:t>;</w:t>
      </w:r>
    </w:p>
    <w:p w14:paraId="367BBE4F" w14:textId="29395709" w:rsidR="00652B02" w:rsidRPr="00080121" w:rsidRDefault="00652B02" w:rsidP="006D4A5B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num" w:pos="360"/>
        </w:tabs>
        <w:spacing w:line="240" w:lineRule="auto"/>
        <w:ind w:left="360"/>
        <w:rPr>
          <w:rFonts w:ascii="Calibri" w:hAnsi="Calibri" w:cs="Calibri"/>
        </w:rPr>
      </w:pPr>
      <w:r w:rsidRPr="00080121">
        <w:rPr>
          <w:rFonts w:ascii="Calibri" w:hAnsi="Calibri" w:cs="Calibri"/>
        </w:rPr>
        <w:t>applying one's expertise to address local, regional, national, or global issues;</w:t>
      </w:r>
    </w:p>
    <w:p w14:paraId="4440AC93" w14:textId="62BECEAF" w:rsidR="00652B02" w:rsidRPr="00080121" w:rsidRDefault="00652B02" w:rsidP="006D4A5B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num" w:pos="360"/>
        </w:tabs>
        <w:spacing w:line="240" w:lineRule="auto"/>
        <w:ind w:left="360"/>
        <w:rPr>
          <w:rFonts w:ascii="Calibri" w:hAnsi="Calibri" w:cs="Calibri"/>
        </w:rPr>
      </w:pPr>
      <w:r w:rsidRPr="00080121">
        <w:rPr>
          <w:rFonts w:ascii="Calibri" w:hAnsi="Calibri" w:cs="Calibri"/>
        </w:rPr>
        <w:t>providing non-credit courses, extension programs, or short courses to governmental agencies, professional organizations, and community members;</w:t>
      </w:r>
    </w:p>
    <w:p w14:paraId="192B24B9" w14:textId="5D1ED3D4" w:rsidR="00652B02" w:rsidRDefault="00652B02" w:rsidP="006D4A5B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num" w:pos="360"/>
        </w:tabs>
        <w:spacing w:line="240" w:lineRule="auto"/>
        <w:ind w:left="360"/>
        <w:rPr>
          <w:rFonts w:ascii="Calibri" w:hAnsi="Calibri" w:cs="Calibri"/>
        </w:rPr>
      </w:pPr>
      <w:r w:rsidRPr="00080121">
        <w:rPr>
          <w:rFonts w:ascii="Calibri" w:hAnsi="Calibri" w:cs="Calibri"/>
        </w:rPr>
        <w:t xml:space="preserve">participating in peer review activities; and </w:t>
      </w:r>
    </w:p>
    <w:p w14:paraId="02B1663A" w14:textId="6608A47C" w:rsidR="00652B02" w:rsidRDefault="00652B02" w:rsidP="006D4A5B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num" w:pos="360"/>
        </w:tabs>
        <w:spacing w:line="240" w:lineRule="auto"/>
        <w:ind w:left="360"/>
        <w:rPr>
          <w:rFonts w:ascii="Calibri" w:hAnsi="Calibri" w:cs="Calibri"/>
        </w:rPr>
      </w:pPr>
      <w:proofErr w:type="gramStart"/>
      <w:r w:rsidRPr="00652B02">
        <w:rPr>
          <w:rFonts w:ascii="Calibri" w:hAnsi="Calibri" w:cs="Calibri"/>
        </w:rPr>
        <w:t>working</w:t>
      </w:r>
      <w:proofErr w:type="gramEnd"/>
      <w:r w:rsidRPr="00652B02">
        <w:rPr>
          <w:rFonts w:ascii="Calibri" w:hAnsi="Calibri" w:cs="Calibri"/>
        </w:rPr>
        <w:t xml:space="preserve"> with local schools, agencies, commissions, and other public venues</w:t>
      </w:r>
      <w:r w:rsidR="008D0015">
        <w:rPr>
          <w:rFonts w:ascii="Calibri" w:hAnsi="Calibri" w:cs="Calibri"/>
        </w:rPr>
        <w:t>.</w:t>
      </w:r>
    </w:p>
    <w:p w14:paraId="213AC08A" w14:textId="69A1D81C" w:rsidR="00652B02" w:rsidRPr="00EB647C" w:rsidRDefault="00652B02" w:rsidP="006D4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80" w:after="80" w:line="240" w:lineRule="auto"/>
        <w:rPr>
          <w:rFonts w:ascii="Calibri" w:hAnsi="Calibri" w:cs="Calibri"/>
        </w:rPr>
      </w:pPr>
      <w:r w:rsidRPr="00652B02">
        <w:rPr>
          <w:rFonts w:ascii="Calibri" w:hAnsi="Calibri" w:cs="Calibri"/>
          <w:b/>
          <w:i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74DF9C" wp14:editId="145DD912">
                <wp:simplePos x="0" y="0"/>
                <wp:positionH relativeFrom="margin">
                  <wp:posOffset>-114300</wp:posOffset>
                </wp:positionH>
                <wp:positionV relativeFrom="paragraph">
                  <wp:posOffset>104775</wp:posOffset>
                </wp:positionV>
                <wp:extent cx="6267450" cy="1312545"/>
                <wp:effectExtent l="0" t="0" r="1905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312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17486" w14:textId="3F52D0C7" w:rsidR="00652B02" w:rsidRPr="00EB647C" w:rsidRDefault="00652B02" w:rsidP="00F4680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</w:pPr>
                            <w:r w:rsidRPr="00EB647C">
                              <w:rPr>
                                <w:rFonts w:ascii="Calibri" w:hAnsi="Calibri" w:cs="Calibri"/>
                                <w:b/>
                                <w:i/>
                                <w:color w:val="000000" w:themeColor="text1"/>
                              </w:rPr>
                              <w:t>For promotio</w:t>
                            </w:r>
                            <w:r w:rsidR="00E6496F">
                              <w:rPr>
                                <w:rFonts w:ascii="Calibri" w:hAnsi="Calibri" w:cs="Calibri"/>
                                <w:b/>
                                <w:i/>
                                <w:color w:val="000000" w:themeColor="text1"/>
                              </w:rPr>
                              <w:t>n to the highest rank (Principal</w:t>
                            </w:r>
                            <w:r w:rsidRPr="00EB647C">
                              <w:rPr>
                                <w:rFonts w:ascii="Calibri" w:hAnsi="Calibri" w:cs="Calibri"/>
                                <w:b/>
                                <w:i/>
                                <w:color w:val="000000" w:themeColor="text1"/>
                              </w:rPr>
                              <w:t xml:space="preserve"> Lecturer) additional activ</w:t>
                            </w:r>
                            <w:r w:rsidR="008D0015">
                              <w:rPr>
                                <w:rFonts w:ascii="Calibri" w:hAnsi="Calibri" w:cs="Calibri"/>
                                <w:b/>
                                <w:i/>
                                <w:color w:val="000000" w:themeColor="text1"/>
                              </w:rPr>
                              <w:t>ities under SERVICE may include</w:t>
                            </w:r>
                          </w:p>
                          <w:p w14:paraId="347FF632" w14:textId="6720322A" w:rsidR="00652B02" w:rsidRPr="00EB647C" w:rsidRDefault="00652B02" w:rsidP="00F46804">
                            <w:pPr>
                              <w:numPr>
                                <w:ilvl w:val="0"/>
                                <w:numId w:val="21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EB647C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leadership in faculty governance</w:t>
                            </w:r>
                            <w:r w:rsidR="008D0015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,</w:t>
                            </w:r>
                            <w:r w:rsidRPr="00EB647C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C14BAE0" w14:textId="59316739" w:rsidR="00652B02" w:rsidRPr="00EB647C" w:rsidRDefault="00652B02" w:rsidP="00F46804">
                            <w:pPr>
                              <w:numPr>
                                <w:ilvl w:val="0"/>
                                <w:numId w:val="21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EB647C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helping establishing academic unit and college goals, objectives and performance standards</w:t>
                            </w:r>
                            <w:r w:rsidR="008D0015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,</w:t>
                            </w:r>
                          </w:p>
                          <w:p w14:paraId="3251EDA1" w14:textId="5751DA1C" w:rsidR="00652B02" w:rsidRPr="00EB647C" w:rsidRDefault="00652B02" w:rsidP="00F46804">
                            <w:pPr>
                              <w:numPr>
                                <w:ilvl w:val="0"/>
                                <w:numId w:val="21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EB647C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mentoring of junior faculty</w:t>
                            </w:r>
                            <w:r w:rsidR="008D0015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,</w:t>
                            </w:r>
                          </w:p>
                          <w:p w14:paraId="0C16138E" w14:textId="228B9735" w:rsidR="00652B02" w:rsidRPr="00EB647C" w:rsidRDefault="00652B02" w:rsidP="00F46804">
                            <w:pPr>
                              <w:numPr>
                                <w:ilvl w:val="0"/>
                                <w:numId w:val="21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EB647C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leadership in professional associations, on professional review panels</w:t>
                            </w:r>
                            <w:r w:rsidR="008D0015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, and</w:t>
                            </w:r>
                          </w:p>
                          <w:p w14:paraId="133594A7" w14:textId="6034831A" w:rsidR="00652B02" w:rsidRPr="00EB647C" w:rsidRDefault="00652B02" w:rsidP="00F46804">
                            <w:pPr>
                              <w:numPr>
                                <w:ilvl w:val="0"/>
                                <w:numId w:val="21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proofErr w:type="gramStart"/>
                            <w:r w:rsidRPr="00EB647C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working</w:t>
                            </w:r>
                            <w:proofErr w:type="gramEnd"/>
                            <w:r w:rsidRPr="00EB647C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with governmental and non-profit agencies that involve one’s area of expertise</w:t>
                            </w:r>
                            <w:r w:rsidR="008D0015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4DF9C" id="_x0000_s1027" type="#_x0000_t202" style="position:absolute;margin-left:-9pt;margin-top:8.25pt;width:493.5pt;height:103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" fillcolor="#d8d8d8 [2732]">
                <v:textbox style="mso-fit-shape-to-text:t">
                  <w:txbxContent>
                    <w:p w14:paraId="0E217486" w14:textId="3F52D0C7" w:rsidR="00652B02" w:rsidRPr="00EB647C" w:rsidRDefault="00652B02" w:rsidP="00F4680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line="240" w:lineRule="auto"/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</w:pPr>
                      <w:r w:rsidRPr="00EB647C">
                        <w:rPr>
                          <w:rFonts w:ascii="Calibri" w:hAnsi="Calibri" w:cs="Calibri"/>
                          <w:b/>
                          <w:i/>
                          <w:color w:val="000000" w:themeColor="text1"/>
                        </w:rPr>
                        <w:t>For promotio</w:t>
                      </w:r>
                      <w:r w:rsidR="00E6496F">
                        <w:rPr>
                          <w:rFonts w:ascii="Calibri" w:hAnsi="Calibri" w:cs="Calibri"/>
                          <w:b/>
                          <w:i/>
                          <w:color w:val="000000" w:themeColor="text1"/>
                        </w:rPr>
                        <w:t>n to the highest rank (Principal</w:t>
                      </w:r>
                      <w:r w:rsidRPr="00EB647C">
                        <w:rPr>
                          <w:rFonts w:ascii="Calibri" w:hAnsi="Calibri" w:cs="Calibri"/>
                          <w:b/>
                          <w:i/>
                          <w:color w:val="000000" w:themeColor="text1"/>
                        </w:rPr>
                        <w:t xml:space="preserve"> Lecturer) additional activ</w:t>
                      </w:r>
                      <w:r w:rsidR="008D0015">
                        <w:rPr>
                          <w:rFonts w:ascii="Calibri" w:hAnsi="Calibri" w:cs="Calibri"/>
                          <w:b/>
                          <w:i/>
                          <w:color w:val="000000" w:themeColor="text1"/>
                        </w:rPr>
                        <w:t>ities under SERVICE may include</w:t>
                      </w:r>
                    </w:p>
                    <w:p w14:paraId="347FF632" w14:textId="6720322A" w:rsidR="00652B02" w:rsidRPr="00EB647C" w:rsidRDefault="00652B02" w:rsidP="00F46804">
                      <w:pPr>
                        <w:numPr>
                          <w:ilvl w:val="0"/>
                          <w:numId w:val="21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line="240" w:lineRule="auto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EB647C">
                        <w:rPr>
                          <w:rFonts w:ascii="Calibri" w:hAnsi="Calibri" w:cs="Calibri"/>
                          <w:color w:val="000000" w:themeColor="text1"/>
                        </w:rPr>
                        <w:t>leadership in faculty governance</w:t>
                      </w:r>
                      <w:r w:rsidR="008D0015">
                        <w:rPr>
                          <w:rFonts w:ascii="Calibri" w:hAnsi="Calibri" w:cs="Calibri"/>
                          <w:color w:val="000000" w:themeColor="text1"/>
                        </w:rPr>
                        <w:t>,</w:t>
                      </w:r>
                      <w:r w:rsidRPr="00EB647C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</w:p>
                    <w:p w14:paraId="2C14BAE0" w14:textId="59316739" w:rsidR="00652B02" w:rsidRPr="00EB647C" w:rsidRDefault="00652B02" w:rsidP="00F46804">
                      <w:pPr>
                        <w:numPr>
                          <w:ilvl w:val="0"/>
                          <w:numId w:val="21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line="240" w:lineRule="auto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EB647C">
                        <w:rPr>
                          <w:rFonts w:ascii="Calibri" w:hAnsi="Calibri" w:cs="Calibri"/>
                          <w:color w:val="000000" w:themeColor="text1"/>
                        </w:rPr>
                        <w:t>helping establishing academic unit and college goals, objectives and performance standards</w:t>
                      </w:r>
                      <w:r w:rsidR="008D0015">
                        <w:rPr>
                          <w:rFonts w:ascii="Calibri" w:hAnsi="Calibri" w:cs="Calibri"/>
                          <w:color w:val="000000" w:themeColor="text1"/>
                        </w:rPr>
                        <w:t>,</w:t>
                      </w:r>
                    </w:p>
                    <w:p w14:paraId="3251EDA1" w14:textId="5751DA1C" w:rsidR="00652B02" w:rsidRPr="00EB647C" w:rsidRDefault="00652B02" w:rsidP="00F46804">
                      <w:pPr>
                        <w:numPr>
                          <w:ilvl w:val="0"/>
                          <w:numId w:val="21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line="240" w:lineRule="auto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EB647C">
                        <w:rPr>
                          <w:rFonts w:ascii="Calibri" w:hAnsi="Calibri" w:cs="Calibri"/>
                          <w:color w:val="000000" w:themeColor="text1"/>
                        </w:rPr>
                        <w:t>mentoring of junior faculty</w:t>
                      </w:r>
                      <w:r w:rsidR="008D0015">
                        <w:rPr>
                          <w:rFonts w:ascii="Calibri" w:hAnsi="Calibri" w:cs="Calibri"/>
                          <w:color w:val="000000" w:themeColor="text1"/>
                        </w:rPr>
                        <w:t>,</w:t>
                      </w:r>
                    </w:p>
                    <w:p w14:paraId="0C16138E" w14:textId="228B9735" w:rsidR="00652B02" w:rsidRPr="00EB647C" w:rsidRDefault="00652B02" w:rsidP="00F46804">
                      <w:pPr>
                        <w:numPr>
                          <w:ilvl w:val="0"/>
                          <w:numId w:val="21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line="240" w:lineRule="auto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EB647C">
                        <w:rPr>
                          <w:rFonts w:ascii="Calibri" w:hAnsi="Calibri" w:cs="Calibri"/>
                          <w:color w:val="000000" w:themeColor="text1"/>
                        </w:rPr>
                        <w:t>leadership in professional associations, on professional review panels</w:t>
                      </w:r>
                      <w:r w:rsidR="008D0015">
                        <w:rPr>
                          <w:rFonts w:ascii="Calibri" w:hAnsi="Calibri" w:cs="Calibri"/>
                          <w:color w:val="000000" w:themeColor="text1"/>
                        </w:rPr>
                        <w:t>, and</w:t>
                      </w:r>
                    </w:p>
                    <w:p w14:paraId="133594A7" w14:textId="6034831A" w:rsidR="00652B02" w:rsidRPr="00EB647C" w:rsidRDefault="00652B02" w:rsidP="00F46804">
                      <w:pPr>
                        <w:numPr>
                          <w:ilvl w:val="0"/>
                          <w:numId w:val="21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line="240" w:lineRule="auto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proofErr w:type="gramStart"/>
                      <w:r w:rsidRPr="00EB647C">
                        <w:rPr>
                          <w:rFonts w:ascii="Calibri" w:hAnsi="Calibri" w:cs="Calibri"/>
                          <w:color w:val="000000" w:themeColor="text1"/>
                        </w:rPr>
                        <w:t>working</w:t>
                      </w:r>
                      <w:proofErr w:type="gramEnd"/>
                      <w:r w:rsidRPr="00EB647C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with governmental and non-profit agencies that involve one’s area of expertise</w:t>
                      </w:r>
                      <w:r w:rsidR="008D0015">
                        <w:rPr>
                          <w:rFonts w:ascii="Calibri" w:hAnsi="Calibri" w:cs="Calibri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F92F65" w14:textId="1638ECA7" w:rsidR="00652B02" w:rsidRPr="00080121" w:rsidRDefault="00652B02" w:rsidP="006D4A5B">
      <w:pPr>
        <w:spacing w:line="240" w:lineRule="auto"/>
        <w:rPr>
          <w:rFonts w:ascii="Calibri" w:hAnsi="Calibri" w:cs="Calibri"/>
        </w:rPr>
      </w:pPr>
      <w:r w:rsidRPr="00080121">
        <w:rPr>
          <w:rFonts w:ascii="Calibri" w:hAnsi="Calibri" w:cs="Calibri"/>
          <w:b/>
        </w:rPr>
        <w:t xml:space="preserve">RESEARCH/CREATIVE ACTIVITY </w:t>
      </w:r>
    </w:p>
    <w:p w14:paraId="3640383E" w14:textId="213378F1" w:rsidR="00652B02" w:rsidRPr="00080121" w:rsidRDefault="00F46804" w:rsidP="006D4A5B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When lecturers have r assignments of lecturers, e</w:t>
      </w:r>
      <w:r w:rsidR="00652B02" w:rsidRPr="00080121">
        <w:rPr>
          <w:rFonts w:ascii="Calibri" w:hAnsi="Calibri" w:cs="Calibri"/>
          <w:b/>
        </w:rPr>
        <w:t>xcellence in research may include,</w:t>
      </w:r>
      <w:r>
        <w:rPr>
          <w:rFonts w:ascii="Calibri" w:hAnsi="Calibri" w:cs="Calibri"/>
          <w:b/>
        </w:rPr>
        <w:t xml:space="preserve"> but is not limited to</w:t>
      </w:r>
    </w:p>
    <w:p w14:paraId="0BBD04D9" w14:textId="77777777" w:rsidR="00EB647C" w:rsidRDefault="00652B02" w:rsidP="006D4A5B">
      <w:pPr>
        <w:pStyle w:val="ListParagraph"/>
        <w:numPr>
          <w:ilvl w:val="0"/>
          <w:numId w:val="29"/>
        </w:numPr>
        <w:tabs>
          <w:tab w:val="clear" w:pos="1440"/>
          <w:tab w:val="num" w:pos="360"/>
        </w:tabs>
        <w:spacing w:after="0" w:line="240" w:lineRule="auto"/>
        <w:ind w:left="360"/>
        <w:contextualSpacing w:val="0"/>
        <w:rPr>
          <w:rFonts w:ascii="Calibri" w:hAnsi="Calibri" w:cs="Calibri"/>
        </w:rPr>
      </w:pPr>
      <w:r w:rsidRPr="00EB647C">
        <w:rPr>
          <w:rFonts w:ascii="Calibri" w:hAnsi="Calibri" w:cs="Calibri"/>
        </w:rPr>
        <w:t>a program of scholarly research and publication or creative contributions;</w:t>
      </w:r>
    </w:p>
    <w:p w14:paraId="74E73FA2" w14:textId="77777777" w:rsidR="00EB647C" w:rsidRDefault="00652B02" w:rsidP="006D4A5B">
      <w:pPr>
        <w:pStyle w:val="ListParagraph"/>
        <w:numPr>
          <w:ilvl w:val="0"/>
          <w:numId w:val="29"/>
        </w:numPr>
        <w:tabs>
          <w:tab w:val="clear" w:pos="1440"/>
          <w:tab w:val="num" w:pos="360"/>
        </w:tabs>
        <w:spacing w:after="0" w:line="240" w:lineRule="auto"/>
        <w:ind w:left="360"/>
        <w:contextualSpacing w:val="0"/>
        <w:rPr>
          <w:rFonts w:ascii="Calibri" w:hAnsi="Calibri" w:cs="Calibri"/>
        </w:rPr>
      </w:pPr>
      <w:r w:rsidRPr="00EB647C">
        <w:rPr>
          <w:rFonts w:ascii="Calibri" w:hAnsi="Calibri" w:cs="Calibri"/>
        </w:rPr>
        <w:t>the receipt and sustained renewal of grants, contracts, awards, and fellowships, where appropriate;</w:t>
      </w:r>
    </w:p>
    <w:p w14:paraId="24A84CAC" w14:textId="77777777" w:rsidR="00EB647C" w:rsidRDefault="00652B02" w:rsidP="006D4A5B">
      <w:pPr>
        <w:pStyle w:val="ListParagraph"/>
        <w:numPr>
          <w:ilvl w:val="0"/>
          <w:numId w:val="29"/>
        </w:numPr>
        <w:tabs>
          <w:tab w:val="clear" w:pos="1440"/>
          <w:tab w:val="num" w:pos="360"/>
        </w:tabs>
        <w:spacing w:after="0" w:line="240" w:lineRule="auto"/>
        <w:ind w:left="360"/>
        <w:contextualSpacing w:val="0"/>
        <w:rPr>
          <w:rFonts w:ascii="Calibri" w:hAnsi="Calibri" w:cs="Calibri"/>
        </w:rPr>
      </w:pPr>
      <w:r w:rsidRPr="00EB647C">
        <w:rPr>
          <w:rFonts w:ascii="Calibri" w:hAnsi="Calibri" w:cs="Calibri"/>
        </w:rPr>
        <w:t>high quality as judged by independent peers both inside and outside the University; and</w:t>
      </w:r>
    </w:p>
    <w:p w14:paraId="5603740E" w14:textId="41439568" w:rsidR="00652B02" w:rsidRPr="00E6496F" w:rsidRDefault="00652B02" w:rsidP="006D4A5B">
      <w:pPr>
        <w:pStyle w:val="ListParagraph"/>
        <w:numPr>
          <w:ilvl w:val="0"/>
          <w:numId w:val="29"/>
        </w:numPr>
        <w:tabs>
          <w:tab w:val="clear" w:pos="1440"/>
          <w:tab w:val="num" w:pos="360"/>
        </w:tabs>
        <w:spacing w:after="0" w:line="240" w:lineRule="auto"/>
        <w:ind w:left="360"/>
        <w:contextualSpacing w:val="0"/>
        <w:rPr>
          <w:rFonts w:ascii="Calibri" w:hAnsi="Calibri" w:cs="Calibri"/>
        </w:rPr>
      </w:pPr>
      <w:proofErr w:type="gramStart"/>
      <w:r w:rsidRPr="00EB647C">
        <w:rPr>
          <w:rFonts w:ascii="Calibri" w:hAnsi="Calibri" w:cs="Calibri"/>
        </w:rPr>
        <w:t>the</w:t>
      </w:r>
      <w:proofErr w:type="gramEnd"/>
      <w:r w:rsidRPr="00EB647C">
        <w:rPr>
          <w:rFonts w:ascii="Calibri" w:hAnsi="Calibri" w:cs="Calibri"/>
        </w:rPr>
        <w:t xml:space="preserve"> responsibility and recognition achieved by being named to important professional positions.</w:t>
      </w:r>
    </w:p>
    <w:p w14:paraId="11176874" w14:textId="171CC531" w:rsidR="008D0015" w:rsidRDefault="008D0015" w:rsidP="006D4A5B">
      <w:pPr>
        <w:pStyle w:val="Normal1"/>
        <w:spacing w:after="120" w:line="240" w:lineRule="auto"/>
        <w:rPr>
          <w:rFonts w:asciiTheme="majorHAnsi" w:hAnsiTheme="majorHAnsi" w:cstheme="majorHAnsi"/>
        </w:rPr>
      </w:pPr>
    </w:p>
    <w:p w14:paraId="45C5A066" w14:textId="77777777" w:rsidR="00CA5212" w:rsidRPr="00EB647C" w:rsidRDefault="00CA5212" w:rsidP="006D4A5B">
      <w:pPr>
        <w:pStyle w:val="Normal1"/>
        <w:spacing w:after="120" w:line="240" w:lineRule="auto"/>
        <w:rPr>
          <w:rFonts w:asciiTheme="majorHAnsi" w:hAnsiTheme="majorHAnsi" w:cstheme="majorHAnsi"/>
        </w:rPr>
      </w:pPr>
    </w:p>
    <w:p w14:paraId="2ECA5EB8" w14:textId="2C25DE0C" w:rsidR="00F74B7B" w:rsidRPr="00F74B7B" w:rsidRDefault="00F74B7B" w:rsidP="006D4A5B">
      <w:pPr>
        <w:pStyle w:val="Normal1"/>
        <w:spacing w:after="120" w:line="240" w:lineRule="auto"/>
        <w:jc w:val="center"/>
        <w:rPr>
          <w:rFonts w:asciiTheme="majorHAnsi" w:hAnsiTheme="majorHAnsi" w:cstheme="majorHAnsi"/>
          <w:b/>
        </w:rPr>
      </w:pPr>
      <w:r w:rsidRPr="00F74B7B">
        <w:rPr>
          <w:rFonts w:asciiTheme="majorHAnsi" w:hAnsiTheme="majorHAnsi" w:cstheme="majorHAnsi"/>
          <w:b/>
        </w:rPr>
        <w:t>REVIEW PROCESS</w:t>
      </w:r>
    </w:p>
    <w:p w14:paraId="6E2BE734" w14:textId="7C935181" w:rsidR="00C11A3B" w:rsidRPr="00F74B7B" w:rsidRDefault="00C11A3B" w:rsidP="006D4A5B">
      <w:pPr>
        <w:pStyle w:val="Heading1"/>
        <w:keepNext w:val="0"/>
        <w:keepLines w:val="0"/>
        <w:pBdr>
          <w:bottom w:val="single" w:sz="4" w:space="1" w:color="auto"/>
        </w:pBdr>
        <w:spacing w:before="0" w:line="240" w:lineRule="auto"/>
        <w:rPr>
          <w:rFonts w:asciiTheme="majorHAnsi" w:eastAsia="Calibri" w:hAnsiTheme="majorHAnsi" w:cstheme="majorHAnsi"/>
          <w:b/>
          <w:sz w:val="12"/>
          <w:szCs w:val="12"/>
        </w:rPr>
      </w:pPr>
    </w:p>
    <w:p w14:paraId="2F26895F" w14:textId="45E4F69B" w:rsidR="00F74B7B" w:rsidRPr="00F74B7B" w:rsidRDefault="00F74B7B" w:rsidP="006D4A5B">
      <w:pPr>
        <w:pStyle w:val="Normal1"/>
        <w:spacing w:line="240" w:lineRule="auto"/>
        <w:rPr>
          <w:sz w:val="12"/>
          <w:szCs w:val="12"/>
        </w:rPr>
      </w:pPr>
    </w:p>
    <w:p w14:paraId="1C9E8656" w14:textId="595A8BE9" w:rsidR="00EB647C" w:rsidRPr="006F7321" w:rsidRDefault="00B5789D" w:rsidP="006D4A5B">
      <w:pPr>
        <w:pStyle w:val="Normal1"/>
        <w:spacing w:after="120" w:line="240" w:lineRule="auto"/>
        <w:rPr>
          <w:rFonts w:asciiTheme="majorHAnsi" w:eastAsia="Calibri" w:hAnsiTheme="majorHAnsi" w:cstheme="majorHAnsi"/>
        </w:rPr>
      </w:pPr>
      <w:r w:rsidRPr="006F7321">
        <w:rPr>
          <w:rFonts w:asciiTheme="majorHAnsi" w:eastAsia="Calibri" w:hAnsiTheme="majorHAnsi" w:cstheme="majorHAnsi"/>
          <w:color w:val="0F0F0F"/>
        </w:rPr>
        <w:t xml:space="preserve">Information on the promotion review process is included in </w:t>
      </w:r>
      <w:hyperlink r:id="rId13" w:history="1">
        <w:r w:rsidRPr="006F7321">
          <w:rPr>
            <w:rStyle w:val="Hyperlink"/>
            <w:rFonts w:asciiTheme="majorHAnsi" w:eastAsia="Calibri" w:hAnsiTheme="majorHAnsi" w:cstheme="majorHAnsi"/>
          </w:rPr>
          <w:t>UHAP chapter 3.2.03</w:t>
        </w:r>
      </w:hyperlink>
      <w:r w:rsidRPr="006F7321">
        <w:rPr>
          <w:rFonts w:asciiTheme="majorHAnsi" w:eastAsia="Calibri" w:hAnsiTheme="majorHAnsi" w:cstheme="majorHAnsi"/>
          <w:color w:val="0F0F0F"/>
        </w:rPr>
        <w:t>.</w:t>
      </w:r>
      <w:r w:rsidRPr="006F7321">
        <w:rPr>
          <w:rFonts w:asciiTheme="majorHAnsi" w:eastAsia="Calibri" w:hAnsiTheme="majorHAnsi" w:cstheme="majorHAnsi"/>
        </w:rPr>
        <w:t xml:space="preserve">  </w:t>
      </w:r>
      <w:r w:rsidR="006F13D9" w:rsidRPr="006F7321">
        <w:rPr>
          <w:rFonts w:asciiTheme="majorHAnsi" w:eastAsia="Calibri" w:hAnsiTheme="majorHAnsi" w:cstheme="majorHAnsi"/>
        </w:rPr>
        <w:t>Career-t</w:t>
      </w:r>
      <w:r w:rsidR="0068674F" w:rsidRPr="006F7321">
        <w:rPr>
          <w:rFonts w:asciiTheme="majorHAnsi" w:eastAsia="Calibri" w:hAnsiTheme="majorHAnsi" w:cstheme="majorHAnsi"/>
        </w:rPr>
        <w:t xml:space="preserve">rack </w:t>
      </w:r>
      <w:r w:rsidR="00EB647C" w:rsidRPr="006F7321">
        <w:rPr>
          <w:rFonts w:asciiTheme="majorHAnsi" w:eastAsia="Calibri" w:hAnsiTheme="majorHAnsi" w:cstheme="majorHAnsi"/>
        </w:rPr>
        <w:t>Lecturers</w:t>
      </w:r>
      <w:r w:rsidR="0068674F" w:rsidRPr="006F7321">
        <w:rPr>
          <w:rFonts w:asciiTheme="majorHAnsi" w:eastAsia="Calibri" w:hAnsiTheme="majorHAnsi" w:cstheme="majorHAnsi"/>
        </w:rPr>
        <w:t xml:space="preserve"> </w:t>
      </w:r>
      <w:r w:rsidR="006F13D9" w:rsidRPr="006F7321">
        <w:rPr>
          <w:rFonts w:asciiTheme="majorHAnsi" w:eastAsia="Calibri" w:hAnsiTheme="majorHAnsi" w:cstheme="majorHAnsi"/>
        </w:rPr>
        <w:t>should</w:t>
      </w:r>
      <w:r w:rsidR="0068674F" w:rsidRPr="006F7321">
        <w:rPr>
          <w:rFonts w:asciiTheme="majorHAnsi" w:eastAsia="Calibri" w:hAnsiTheme="majorHAnsi" w:cstheme="majorHAnsi"/>
        </w:rPr>
        <w:t xml:space="preserve"> submit</w:t>
      </w:r>
      <w:r w:rsidR="0068674F" w:rsidRPr="006F7321">
        <w:rPr>
          <w:rFonts w:asciiTheme="majorHAnsi" w:eastAsia="Calibri" w:hAnsiTheme="majorHAnsi" w:cstheme="majorHAnsi"/>
          <w:b/>
        </w:rPr>
        <w:t xml:space="preserve"> </w:t>
      </w:r>
      <w:r w:rsidR="0068674F" w:rsidRPr="006F7321">
        <w:rPr>
          <w:rFonts w:asciiTheme="majorHAnsi" w:eastAsia="Calibri" w:hAnsiTheme="majorHAnsi" w:cstheme="majorHAnsi"/>
        </w:rPr>
        <w:t>a</w:t>
      </w:r>
      <w:r w:rsidR="0068674F" w:rsidRPr="006F7321">
        <w:rPr>
          <w:rFonts w:asciiTheme="majorHAnsi" w:eastAsia="Calibri" w:hAnsiTheme="majorHAnsi" w:cstheme="majorHAnsi"/>
          <w:b/>
        </w:rPr>
        <w:t xml:space="preserve"> </w:t>
      </w:r>
      <w:r w:rsidR="006F13D9" w:rsidRPr="006F7321">
        <w:rPr>
          <w:rFonts w:asciiTheme="majorHAnsi" w:eastAsia="Calibri" w:hAnsiTheme="majorHAnsi" w:cstheme="majorHAnsi"/>
        </w:rPr>
        <w:t>dossier</w:t>
      </w:r>
      <w:r w:rsidR="00EB647C" w:rsidRPr="006F7321">
        <w:rPr>
          <w:rFonts w:asciiTheme="majorHAnsi" w:eastAsia="Calibri" w:hAnsiTheme="majorHAnsi" w:cstheme="majorHAnsi"/>
        </w:rPr>
        <w:t xml:space="preserve">/portfolio that </w:t>
      </w:r>
      <w:r w:rsidR="006F7321">
        <w:rPr>
          <w:rFonts w:asciiTheme="majorHAnsi" w:eastAsia="Calibri" w:hAnsiTheme="majorHAnsi" w:cstheme="majorHAnsi"/>
        </w:rPr>
        <w:t>utilizes</w:t>
      </w:r>
      <w:r w:rsidR="00EB647C" w:rsidRPr="006F7321">
        <w:rPr>
          <w:rFonts w:asciiTheme="majorHAnsi" w:eastAsia="Calibri" w:hAnsiTheme="majorHAnsi" w:cstheme="majorHAnsi"/>
        </w:rPr>
        <w:t xml:space="preserve"> appropriate </w:t>
      </w:r>
      <w:hyperlink r:id="rId14" w:anchor="pt" w:history="1">
        <w:r w:rsidR="00EB647C" w:rsidRPr="006F7321">
          <w:rPr>
            <w:rStyle w:val="Hyperlink"/>
            <w:rFonts w:asciiTheme="majorHAnsi" w:eastAsia="Calibri" w:hAnsiTheme="majorHAnsi" w:cstheme="majorHAnsi"/>
          </w:rPr>
          <w:t>dossier templates and documentation</w:t>
        </w:r>
      </w:hyperlink>
      <w:r w:rsidR="00EB647C" w:rsidRPr="006F7321">
        <w:rPr>
          <w:rFonts w:asciiTheme="majorHAnsi" w:eastAsia="Calibri" w:hAnsiTheme="majorHAnsi" w:cstheme="majorHAnsi"/>
        </w:rPr>
        <w:t xml:space="preserve"> from the Vice Provost for Faculty Affairs.</w:t>
      </w:r>
    </w:p>
    <w:p w14:paraId="673CB5B6" w14:textId="76B39CBF" w:rsidR="00EB647C" w:rsidRDefault="00EB647C" w:rsidP="006D4A5B">
      <w:pPr>
        <w:pStyle w:val="Normal1"/>
        <w:spacing w:line="240" w:lineRule="auto"/>
        <w:rPr>
          <w:rFonts w:asciiTheme="majorHAnsi" w:eastAsia="Calibri" w:hAnsiTheme="majorHAnsi" w:cstheme="majorHAnsi"/>
        </w:rPr>
      </w:pPr>
    </w:p>
    <w:p w14:paraId="639132F0" w14:textId="305DB225" w:rsidR="00E6496F" w:rsidRPr="00E6496F" w:rsidRDefault="00E6496F" w:rsidP="006D4A5B">
      <w:pPr>
        <w:pStyle w:val="Normal1"/>
        <w:spacing w:line="240" w:lineRule="auto"/>
        <w:rPr>
          <w:rFonts w:asciiTheme="majorHAnsi" w:eastAsia="Calibri" w:hAnsiTheme="majorHAnsi" w:cstheme="majorHAnsi"/>
          <w:i/>
        </w:rPr>
      </w:pPr>
      <w:r w:rsidRPr="00E6496F">
        <w:rPr>
          <w:rFonts w:asciiTheme="majorHAnsi" w:eastAsia="Calibri" w:hAnsiTheme="majorHAnsi" w:cstheme="majorHAnsi"/>
          <w:i/>
        </w:rPr>
        <w:t>For candidates:</w:t>
      </w:r>
    </w:p>
    <w:p w14:paraId="3C9F3286" w14:textId="7D4E4E24" w:rsidR="00C63C44" w:rsidRPr="00E6496F" w:rsidRDefault="00345B86" w:rsidP="006D4A5B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Theme="majorHAnsi" w:hAnsiTheme="majorHAnsi" w:cstheme="majorHAnsi"/>
        </w:rPr>
      </w:pPr>
      <w:r w:rsidRPr="00E6496F">
        <w:rPr>
          <w:rFonts w:asciiTheme="majorHAnsi" w:hAnsiTheme="majorHAnsi" w:cstheme="majorHAnsi"/>
        </w:rPr>
        <w:t xml:space="preserve">Cover page with name, </w:t>
      </w:r>
      <w:proofErr w:type="spellStart"/>
      <w:r w:rsidRPr="00E6496F">
        <w:rPr>
          <w:rFonts w:asciiTheme="majorHAnsi" w:hAnsiTheme="majorHAnsi" w:cstheme="majorHAnsi"/>
        </w:rPr>
        <w:t>dept</w:t>
      </w:r>
      <w:proofErr w:type="spellEnd"/>
      <w:r w:rsidRPr="00E6496F">
        <w:rPr>
          <w:rFonts w:asciiTheme="majorHAnsi" w:hAnsiTheme="majorHAnsi" w:cstheme="majorHAnsi"/>
        </w:rPr>
        <w:t xml:space="preserve">, date, and “Packet for Promotion to </w:t>
      </w:r>
      <w:r w:rsidR="00EB647C" w:rsidRPr="00E6496F">
        <w:rPr>
          <w:rFonts w:asciiTheme="majorHAnsi" w:hAnsiTheme="majorHAnsi" w:cstheme="majorHAnsi"/>
        </w:rPr>
        <w:t>(rank)</w:t>
      </w:r>
      <w:r w:rsidRPr="00E6496F">
        <w:rPr>
          <w:rFonts w:asciiTheme="majorHAnsi" w:hAnsiTheme="majorHAnsi" w:cstheme="majorHAnsi"/>
        </w:rPr>
        <w:t xml:space="preserve"> Lecturer” </w:t>
      </w:r>
    </w:p>
    <w:p w14:paraId="0DBC9D75" w14:textId="4A96D81B" w:rsidR="00EB647C" w:rsidRPr="00E6496F" w:rsidRDefault="00EB647C" w:rsidP="006D4A5B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Theme="majorHAnsi" w:hAnsiTheme="majorHAnsi" w:cstheme="majorHAnsi"/>
          <w:spacing w:val="-9"/>
        </w:rPr>
      </w:pPr>
      <w:r w:rsidRPr="00E6496F">
        <w:rPr>
          <w:rFonts w:asciiTheme="majorHAnsi" w:hAnsiTheme="majorHAnsi" w:cstheme="majorHAnsi"/>
        </w:rPr>
        <w:t xml:space="preserve">Summary data sheet </w:t>
      </w:r>
      <w:r w:rsidR="006F7321" w:rsidRPr="00E6496F">
        <w:rPr>
          <w:rFonts w:asciiTheme="majorHAnsi" w:hAnsiTheme="majorHAnsi" w:cstheme="majorHAnsi"/>
        </w:rPr>
        <w:t>(</w:t>
      </w:r>
      <w:r w:rsidRPr="00E6496F">
        <w:rPr>
          <w:rFonts w:asciiTheme="majorHAnsi" w:hAnsiTheme="majorHAnsi" w:cstheme="majorHAnsi"/>
        </w:rPr>
        <w:t xml:space="preserve">from P&amp;T </w:t>
      </w:r>
      <w:hyperlink r:id="rId15" w:tgtFrame="_blank" w:history="1">
        <w:r w:rsidRPr="00E6496F">
          <w:rPr>
            <w:rStyle w:val="Hyperlink"/>
            <w:rFonts w:asciiTheme="majorHAnsi" w:hAnsiTheme="majorHAnsi" w:cstheme="majorHAnsi"/>
            <w:color w:val="876536"/>
            <w:spacing w:val="-9"/>
            <w:bdr w:val="none" w:sz="0" w:space="0" w:color="auto" w:frame="1"/>
          </w:rPr>
          <w:t>Dossier Section 1</w:t>
        </w:r>
      </w:hyperlink>
      <w:r w:rsidR="006F7321" w:rsidRPr="00E6496F">
        <w:rPr>
          <w:rStyle w:val="Hyperlink"/>
          <w:rFonts w:asciiTheme="majorHAnsi" w:hAnsiTheme="majorHAnsi" w:cstheme="majorHAnsi"/>
          <w:color w:val="876536"/>
          <w:spacing w:val="-9"/>
          <w:bdr w:val="none" w:sz="0" w:space="0" w:color="auto" w:frame="1"/>
        </w:rPr>
        <w:t>)</w:t>
      </w:r>
      <w:r w:rsidRPr="00E6496F">
        <w:rPr>
          <w:rFonts w:asciiTheme="majorHAnsi" w:hAnsiTheme="majorHAnsi" w:cstheme="majorHAnsi"/>
          <w:spacing w:val="-9"/>
        </w:rPr>
        <w:t xml:space="preserve"> </w:t>
      </w:r>
    </w:p>
    <w:p w14:paraId="17F13985" w14:textId="06B8CBCB" w:rsidR="00EB647C" w:rsidRPr="00E6496F" w:rsidRDefault="00EB647C" w:rsidP="006D4A5B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Theme="majorHAnsi" w:hAnsiTheme="majorHAnsi" w:cstheme="majorHAnsi"/>
          <w:spacing w:val="-9"/>
        </w:rPr>
      </w:pPr>
      <w:r w:rsidRPr="00E6496F">
        <w:rPr>
          <w:rFonts w:asciiTheme="majorHAnsi" w:hAnsiTheme="majorHAnsi" w:cstheme="majorHAnsi"/>
          <w:spacing w:val="-9"/>
        </w:rPr>
        <w:t xml:space="preserve">Summary of Candidate's Workload Assignment </w:t>
      </w:r>
      <w:r w:rsidR="006F7321" w:rsidRPr="00E6496F">
        <w:rPr>
          <w:rFonts w:asciiTheme="majorHAnsi" w:hAnsiTheme="majorHAnsi" w:cstheme="majorHAnsi"/>
          <w:spacing w:val="-9"/>
        </w:rPr>
        <w:t>(</w:t>
      </w:r>
      <w:r w:rsidRPr="00E6496F">
        <w:rPr>
          <w:rFonts w:asciiTheme="majorHAnsi" w:hAnsiTheme="majorHAnsi" w:cstheme="majorHAnsi"/>
          <w:spacing w:val="-9"/>
        </w:rPr>
        <w:t>from </w:t>
      </w:r>
      <w:r w:rsidRPr="00E6496F">
        <w:rPr>
          <w:rFonts w:asciiTheme="majorHAnsi" w:hAnsiTheme="majorHAnsi" w:cstheme="majorHAnsi"/>
        </w:rPr>
        <w:t xml:space="preserve"> </w:t>
      </w:r>
      <w:hyperlink r:id="rId16" w:tgtFrame="_blank" w:history="1">
        <w:r w:rsidRPr="00E6496F">
          <w:rPr>
            <w:rStyle w:val="Hyperlink"/>
            <w:rFonts w:asciiTheme="majorHAnsi" w:hAnsiTheme="majorHAnsi" w:cstheme="majorHAnsi"/>
            <w:color w:val="876536"/>
            <w:spacing w:val="-9"/>
            <w:bdr w:val="none" w:sz="0" w:space="0" w:color="auto" w:frame="1"/>
          </w:rPr>
          <w:t>Dossier Section 2</w:t>
        </w:r>
      </w:hyperlink>
      <w:r w:rsidR="006F7321" w:rsidRPr="00E6496F">
        <w:rPr>
          <w:rStyle w:val="Hyperlink"/>
          <w:rFonts w:asciiTheme="majorHAnsi" w:hAnsiTheme="majorHAnsi" w:cstheme="majorHAnsi"/>
          <w:color w:val="876536"/>
          <w:spacing w:val="-9"/>
          <w:bdr w:val="none" w:sz="0" w:space="0" w:color="auto" w:frame="1"/>
        </w:rPr>
        <w:t>)</w:t>
      </w:r>
    </w:p>
    <w:p w14:paraId="42620C3B" w14:textId="0A0B057C" w:rsidR="00C63C44" w:rsidRPr="00E6496F" w:rsidRDefault="00345B86" w:rsidP="006D4A5B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Theme="majorHAnsi" w:hAnsiTheme="majorHAnsi" w:cstheme="majorHAnsi"/>
        </w:rPr>
      </w:pPr>
      <w:r w:rsidRPr="00E6496F">
        <w:rPr>
          <w:rFonts w:asciiTheme="majorHAnsi" w:hAnsiTheme="majorHAnsi" w:cstheme="majorHAnsi"/>
        </w:rPr>
        <w:t>Personal statement, to include teaching philosophy</w:t>
      </w:r>
      <w:r w:rsidR="00EB647C" w:rsidRPr="00E6496F">
        <w:rPr>
          <w:rFonts w:asciiTheme="majorHAnsi" w:hAnsiTheme="majorHAnsi" w:cstheme="majorHAnsi"/>
        </w:rPr>
        <w:t xml:space="preserve"> </w:t>
      </w:r>
      <w:r w:rsidR="006F7321" w:rsidRPr="00E6496F">
        <w:rPr>
          <w:rFonts w:asciiTheme="majorHAnsi" w:hAnsiTheme="majorHAnsi" w:cstheme="majorHAnsi"/>
        </w:rPr>
        <w:t>(</w:t>
      </w:r>
      <w:r w:rsidR="00EB647C" w:rsidRPr="00E6496F">
        <w:rPr>
          <w:rFonts w:asciiTheme="majorHAnsi" w:hAnsiTheme="majorHAnsi" w:cstheme="majorHAnsi"/>
        </w:rPr>
        <w:t xml:space="preserve">from </w:t>
      </w:r>
      <w:hyperlink r:id="rId17" w:tgtFrame="_blank" w:history="1">
        <w:r w:rsidR="00EB647C" w:rsidRPr="00E6496F">
          <w:rPr>
            <w:rStyle w:val="Hyperlink"/>
            <w:rFonts w:asciiTheme="majorHAnsi" w:hAnsiTheme="majorHAnsi" w:cstheme="majorHAnsi"/>
            <w:color w:val="876536"/>
            <w:spacing w:val="-9"/>
            <w:bdr w:val="none" w:sz="0" w:space="0" w:color="auto" w:frame="1"/>
          </w:rPr>
          <w:t>Dossier Section 5</w:t>
        </w:r>
      </w:hyperlink>
      <w:r w:rsidR="006F7321" w:rsidRPr="00E6496F">
        <w:rPr>
          <w:rStyle w:val="Hyperlink"/>
          <w:rFonts w:asciiTheme="majorHAnsi" w:hAnsiTheme="majorHAnsi" w:cstheme="majorHAnsi"/>
          <w:color w:val="876536"/>
          <w:spacing w:val="-9"/>
          <w:bdr w:val="none" w:sz="0" w:space="0" w:color="auto" w:frame="1"/>
        </w:rPr>
        <w:t>)</w:t>
      </w:r>
    </w:p>
    <w:p w14:paraId="467C0D33" w14:textId="2FE6C36F" w:rsidR="00C63C44" w:rsidRPr="00E6496F" w:rsidRDefault="006F7321" w:rsidP="006D4A5B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Theme="majorHAnsi" w:hAnsiTheme="majorHAnsi" w:cstheme="majorHAnsi"/>
        </w:rPr>
      </w:pPr>
      <w:r w:rsidRPr="00E6496F">
        <w:rPr>
          <w:rFonts w:asciiTheme="majorHAnsi" w:hAnsiTheme="majorHAnsi" w:cstheme="majorHAnsi"/>
        </w:rPr>
        <w:t>Curriculum Vitae</w:t>
      </w:r>
    </w:p>
    <w:p w14:paraId="5A75D3FB" w14:textId="4F04B3B0" w:rsidR="00EB647C" w:rsidRPr="00E6496F" w:rsidRDefault="00EB647C" w:rsidP="006D4A5B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Theme="majorHAnsi" w:hAnsiTheme="majorHAnsi" w:cstheme="majorHAnsi"/>
        </w:rPr>
      </w:pPr>
      <w:r w:rsidRPr="00E6496F">
        <w:rPr>
          <w:rFonts w:asciiTheme="majorHAnsi" w:hAnsiTheme="majorHAnsi" w:cstheme="majorHAnsi"/>
        </w:rPr>
        <w:t xml:space="preserve">Teaching portfolio built on </w:t>
      </w:r>
      <w:hyperlink r:id="rId18" w:tgtFrame="_blank" w:history="1">
        <w:r w:rsidRPr="00E6496F">
          <w:rPr>
            <w:rStyle w:val="Hyperlink"/>
            <w:rFonts w:asciiTheme="majorHAnsi" w:hAnsiTheme="majorHAnsi" w:cstheme="majorHAnsi"/>
            <w:color w:val="876536"/>
            <w:spacing w:val="-9"/>
            <w:bdr w:val="none" w:sz="0" w:space="0" w:color="auto" w:frame="1"/>
          </w:rPr>
          <w:t>Dossier Section 6</w:t>
        </w:r>
      </w:hyperlink>
      <w:r w:rsidR="006F7321" w:rsidRPr="00E6496F">
        <w:rPr>
          <w:rFonts w:asciiTheme="majorHAnsi" w:hAnsiTheme="majorHAnsi" w:cstheme="majorHAnsi"/>
          <w:spacing w:val="-9"/>
        </w:rPr>
        <w:t xml:space="preserve">; the Vice Provost for Faculty Affairs has also gathered helpful </w:t>
      </w:r>
      <w:hyperlink r:id="rId19" w:tgtFrame="_blank" w:history="1">
        <w:r w:rsidRPr="00E6496F">
          <w:rPr>
            <w:rStyle w:val="Hyperlink"/>
            <w:rFonts w:asciiTheme="majorHAnsi" w:hAnsiTheme="majorHAnsi" w:cstheme="majorHAnsi"/>
            <w:color w:val="876536"/>
            <w:spacing w:val="-9"/>
            <w:bdr w:val="none" w:sz="0" w:space="0" w:color="auto" w:frame="1"/>
          </w:rPr>
          <w:t>Teaching Portfolio Resources</w:t>
        </w:r>
      </w:hyperlink>
    </w:p>
    <w:p w14:paraId="27E55A97" w14:textId="026E5250" w:rsidR="00EB647C" w:rsidRDefault="00EB647C" w:rsidP="006D4A5B">
      <w:pPr>
        <w:pStyle w:val="Normal1"/>
        <w:spacing w:line="240" w:lineRule="auto"/>
        <w:ind w:left="360" w:hanging="360"/>
        <w:rPr>
          <w:rFonts w:asciiTheme="majorHAnsi" w:eastAsia="Calibri" w:hAnsiTheme="majorHAnsi" w:cstheme="majorHAnsi"/>
        </w:rPr>
      </w:pPr>
    </w:p>
    <w:p w14:paraId="5D5885B3" w14:textId="3EB3F88E" w:rsidR="006F7321" w:rsidRPr="006F7321" w:rsidRDefault="006F7321" w:rsidP="006D4A5B">
      <w:pPr>
        <w:pStyle w:val="Normal1"/>
        <w:spacing w:line="240" w:lineRule="auto"/>
        <w:rPr>
          <w:rFonts w:asciiTheme="majorHAnsi" w:eastAsia="Calibri" w:hAnsiTheme="majorHAnsi" w:cstheme="majorHAnsi"/>
          <w:i/>
        </w:rPr>
      </w:pPr>
      <w:r w:rsidRPr="006F7321">
        <w:rPr>
          <w:rFonts w:asciiTheme="majorHAnsi" w:eastAsia="Calibri" w:hAnsiTheme="majorHAnsi" w:cstheme="majorHAnsi"/>
          <w:i/>
        </w:rPr>
        <w:t>For units and evaluators:</w:t>
      </w:r>
    </w:p>
    <w:p w14:paraId="4AB35249" w14:textId="430A5DFD" w:rsidR="00B5789D" w:rsidRPr="006F7321" w:rsidRDefault="00EB647C" w:rsidP="006D4A5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360"/>
        </w:tabs>
        <w:spacing w:line="240" w:lineRule="auto"/>
        <w:ind w:left="360"/>
        <w:textAlignment w:val="baseline"/>
        <w:rPr>
          <w:rFonts w:asciiTheme="majorHAnsi" w:hAnsiTheme="majorHAnsi" w:cstheme="majorHAnsi"/>
          <w:spacing w:val="-9"/>
        </w:rPr>
      </w:pPr>
      <w:r w:rsidRPr="006F7321">
        <w:rPr>
          <w:rFonts w:asciiTheme="majorHAnsi" w:eastAsia="Calibri" w:hAnsiTheme="majorHAnsi" w:cstheme="majorHAnsi"/>
        </w:rPr>
        <w:t xml:space="preserve">Units evaluation Lecturers will be expected to use </w:t>
      </w:r>
      <w:hyperlink r:id="rId20" w:tgtFrame="_blank" w:history="1">
        <w:r w:rsidRPr="006F7321">
          <w:rPr>
            <w:rStyle w:val="Hyperlink"/>
            <w:rFonts w:asciiTheme="majorHAnsi" w:hAnsiTheme="majorHAnsi" w:cstheme="majorHAnsi"/>
            <w:color w:val="876536"/>
            <w:spacing w:val="-9"/>
            <w:bdr w:val="none" w:sz="0" w:space="0" w:color="auto" w:frame="1"/>
          </w:rPr>
          <w:t>Dossier Section 7</w:t>
        </w:r>
      </w:hyperlink>
      <w:r w:rsidRPr="006F7321">
        <w:rPr>
          <w:rFonts w:asciiTheme="majorHAnsi" w:hAnsiTheme="majorHAnsi" w:cstheme="majorHAnsi"/>
          <w:spacing w:val="-9"/>
        </w:rPr>
        <w:t>: Evaluation of Teaching &amp; Advising (</w:t>
      </w:r>
      <w:r w:rsidR="006F7321">
        <w:rPr>
          <w:rFonts w:asciiTheme="majorHAnsi" w:hAnsiTheme="majorHAnsi" w:cstheme="majorHAnsi"/>
          <w:spacing w:val="-9"/>
        </w:rPr>
        <w:t>which includes tips for</w:t>
      </w:r>
      <w:r w:rsidRPr="006F7321">
        <w:rPr>
          <w:rFonts w:asciiTheme="majorHAnsi" w:hAnsiTheme="majorHAnsi" w:cstheme="majorHAnsi"/>
          <w:spacing w:val="-9"/>
        </w:rPr>
        <w:t> </w:t>
      </w:r>
      <w:hyperlink r:id="rId21" w:tgtFrame="_blank" w:history="1">
        <w:r w:rsidRPr="006F7321">
          <w:rPr>
            <w:rStyle w:val="Hyperlink"/>
            <w:rFonts w:asciiTheme="majorHAnsi" w:hAnsiTheme="majorHAnsi" w:cstheme="majorHAnsi"/>
            <w:color w:val="876536"/>
            <w:spacing w:val="-9"/>
            <w:bdr w:val="none" w:sz="0" w:space="0" w:color="auto" w:frame="1"/>
          </w:rPr>
          <w:t>Evaluating Portfolios</w:t>
        </w:r>
      </w:hyperlink>
      <w:r w:rsidRPr="006F7321">
        <w:rPr>
          <w:rFonts w:asciiTheme="majorHAnsi" w:hAnsiTheme="majorHAnsi" w:cstheme="majorHAnsi"/>
          <w:spacing w:val="-9"/>
        </w:rPr>
        <w:t>)</w:t>
      </w:r>
    </w:p>
    <w:p w14:paraId="3A3D3385" w14:textId="5699DBF0" w:rsidR="00B5789D" w:rsidRPr="006F7321" w:rsidRDefault="00EB647C" w:rsidP="006D4A5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360"/>
        </w:tabs>
        <w:spacing w:after="120" w:line="240" w:lineRule="auto"/>
        <w:ind w:left="360"/>
        <w:textAlignment w:val="baseline"/>
        <w:rPr>
          <w:rFonts w:asciiTheme="majorHAnsi" w:hAnsiTheme="majorHAnsi" w:cstheme="majorHAnsi"/>
          <w:spacing w:val="-9"/>
        </w:rPr>
      </w:pPr>
      <w:r w:rsidRPr="006F7321">
        <w:rPr>
          <w:rFonts w:asciiTheme="majorHAnsi" w:hAnsiTheme="majorHAnsi" w:cstheme="majorHAnsi"/>
          <w:spacing w:val="-9"/>
        </w:rPr>
        <w:t xml:space="preserve">Recommendations for Promotion should follow </w:t>
      </w:r>
      <w:hyperlink r:id="rId22" w:tgtFrame="_blank" w:history="1">
        <w:r w:rsidR="00B5789D" w:rsidRPr="006F7321">
          <w:rPr>
            <w:rStyle w:val="Hyperlink"/>
            <w:rFonts w:asciiTheme="majorHAnsi" w:hAnsiTheme="majorHAnsi" w:cstheme="majorHAnsi"/>
            <w:color w:val="876536"/>
            <w:spacing w:val="-9"/>
            <w:bdr w:val="none" w:sz="0" w:space="0" w:color="auto" w:frame="1"/>
          </w:rPr>
          <w:t>Dossier Section 11</w:t>
        </w:r>
      </w:hyperlink>
      <w:r w:rsidR="00B5789D" w:rsidRPr="006F7321">
        <w:rPr>
          <w:rFonts w:asciiTheme="majorHAnsi" w:hAnsiTheme="majorHAnsi" w:cstheme="majorHAnsi"/>
          <w:spacing w:val="-9"/>
        </w:rPr>
        <w:t xml:space="preserve">: </w:t>
      </w:r>
      <w:r w:rsidRPr="006F7321">
        <w:rPr>
          <w:rFonts w:asciiTheme="majorHAnsi" w:hAnsiTheme="majorHAnsi" w:cstheme="majorHAnsi"/>
          <w:spacing w:val="-9"/>
        </w:rPr>
        <w:t>Recommendations</w:t>
      </w:r>
    </w:p>
    <w:p w14:paraId="26E77CEE" w14:textId="3F7843CD" w:rsidR="00C11A3B" w:rsidRPr="00092F0D" w:rsidRDefault="00C11A3B" w:rsidP="006D4A5B">
      <w:pPr>
        <w:pStyle w:val="Normal1"/>
        <w:spacing w:after="120" w:line="240" w:lineRule="auto"/>
        <w:rPr>
          <w:rFonts w:asciiTheme="majorHAnsi" w:eastAsia="Calibri" w:hAnsiTheme="majorHAnsi" w:cstheme="majorHAnsi"/>
          <w:b/>
        </w:rPr>
      </w:pPr>
    </w:p>
    <w:p w14:paraId="30758926" w14:textId="77777777" w:rsidR="006F7321" w:rsidRDefault="006F7321" w:rsidP="006D4A5B">
      <w:pPr>
        <w:spacing w:line="240" w:lineRule="auto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br w:type="page"/>
      </w:r>
    </w:p>
    <w:p w14:paraId="19B0788D" w14:textId="7FC48028" w:rsidR="00C11A3B" w:rsidRDefault="0068674F" w:rsidP="006D4A5B">
      <w:pPr>
        <w:pStyle w:val="Normal1"/>
        <w:pBdr>
          <w:bottom w:val="single" w:sz="4" w:space="1" w:color="auto"/>
        </w:pBdr>
        <w:spacing w:after="120" w:line="240" w:lineRule="auto"/>
        <w:jc w:val="center"/>
        <w:rPr>
          <w:rFonts w:asciiTheme="majorHAnsi" w:eastAsia="Calibri" w:hAnsiTheme="majorHAnsi" w:cstheme="majorHAnsi"/>
          <w:b/>
        </w:rPr>
      </w:pPr>
      <w:r w:rsidRPr="00092F0D">
        <w:rPr>
          <w:rFonts w:asciiTheme="majorHAnsi" w:eastAsia="Calibri" w:hAnsiTheme="majorHAnsi" w:cstheme="majorHAnsi"/>
          <w:b/>
        </w:rPr>
        <w:lastRenderedPageBreak/>
        <w:t>ADDITIONAL CONSIDERATIONS</w:t>
      </w:r>
    </w:p>
    <w:p w14:paraId="5B086514" w14:textId="77777777" w:rsidR="00F74B7B" w:rsidRPr="00F74B7B" w:rsidRDefault="00F74B7B" w:rsidP="006D4A5B">
      <w:pPr>
        <w:pStyle w:val="Normal1"/>
        <w:pBdr>
          <w:bottom w:val="single" w:sz="4" w:space="1" w:color="auto"/>
        </w:pBdr>
        <w:spacing w:after="120" w:line="240" w:lineRule="auto"/>
        <w:rPr>
          <w:rFonts w:asciiTheme="majorHAnsi" w:eastAsia="Calibri" w:hAnsiTheme="majorHAnsi" w:cstheme="majorHAnsi"/>
          <w:b/>
          <w:i/>
          <w:sz w:val="8"/>
          <w:szCs w:val="8"/>
        </w:rPr>
      </w:pPr>
    </w:p>
    <w:p w14:paraId="220D74A5" w14:textId="77777777" w:rsidR="00C11A3B" w:rsidRPr="00617EDE" w:rsidRDefault="0068674F" w:rsidP="006D4A5B">
      <w:pPr>
        <w:pStyle w:val="Normal1"/>
        <w:spacing w:after="120" w:line="240" w:lineRule="auto"/>
        <w:rPr>
          <w:rFonts w:asciiTheme="majorHAnsi" w:eastAsia="Calibri" w:hAnsiTheme="majorHAnsi" w:cstheme="majorHAnsi"/>
          <w:b/>
        </w:rPr>
      </w:pPr>
      <w:r w:rsidRPr="00617EDE">
        <w:rPr>
          <w:rFonts w:asciiTheme="majorHAnsi" w:eastAsia="Calibri" w:hAnsiTheme="majorHAnsi" w:cstheme="majorHAnsi"/>
          <w:b/>
        </w:rPr>
        <w:t>Determining years of service for purposes of eligibility</w:t>
      </w:r>
    </w:p>
    <w:p w14:paraId="3D53E4D4" w14:textId="31F6FF20" w:rsidR="00C11A3B" w:rsidRPr="00092F0D" w:rsidRDefault="0068674F" w:rsidP="006D4A5B">
      <w:pPr>
        <w:pStyle w:val="Normal1"/>
        <w:spacing w:after="120" w:line="240" w:lineRule="auto"/>
        <w:rPr>
          <w:rFonts w:asciiTheme="majorHAnsi" w:eastAsia="Calibri" w:hAnsiTheme="majorHAnsi" w:cstheme="majorHAnsi"/>
        </w:rPr>
      </w:pPr>
      <w:r w:rsidRPr="00092F0D">
        <w:rPr>
          <w:rFonts w:asciiTheme="majorHAnsi" w:eastAsia="Calibri" w:hAnsiTheme="majorHAnsi" w:cstheme="majorHAnsi"/>
        </w:rPr>
        <w:t>Candidates for promotion may request credit for</w:t>
      </w:r>
      <w:r w:rsidR="00085791">
        <w:rPr>
          <w:rFonts w:asciiTheme="majorHAnsi" w:eastAsia="Calibri" w:hAnsiTheme="majorHAnsi" w:cstheme="majorHAnsi"/>
        </w:rPr>
        <w:t xml:space="preserve"> years of previous </w:t>
      </w:r>
      <w:r w:rsidRPr="00092F0D">
        <w:rPr>
          <w:rFonts w:asciiTheme="majorHAnsi" w:eastAsia="Calibri" w:hAnsiTheme="majorHAnsi" w:cstheme="majorHAnsi"/>
        </w:rPr>
        <w:t xml:space="preserve">service at other institutions, or in </w:t>
      </w:r>
      <w:r w:rsidR="00083B23">
        <w:rPr>
          <w:rFonts w:asciiTheme="majorHAnsi" w:eastAsia="Calibri" w:hAnsiTheme="majorHAnsi" w:cstheme="majorHAnsi"/>
        </w:rPr>
        <w:t xml:space="preserve">UA </w:t>
      </w:r>
      <w:r w:rsidRPr="00092F0D">
        <w:rPr>
          <w:rFonts w:asciiTheme="majorHAnsi" w:eastAsia="Calibri" w:hAnsiTheme="majorHAnsi" w:cstheme="majorHAnsi"/>
        </w:rPr>
        <w:t xml:space="preserve">positions </w:t>
      </w:r>
      <w:r w:rsidR="00083B23">
        <w:rPr>
          <w:rFonts w:asciiTheme="majorHAnsi" w:eastAsia="Calibri" w:hAnsiTheme="majorHAnsi" w:cstheme="majorHAnsi"/>
        </w:rPr>
        <w:t>that included related duties</w:t>
      </w:r>
      <w:r w:rsidRPr="00092F0D">
        <w:rPr>
          <w:rFonts w:asciiTheme="majorHAnsi" w:eastAsia="Calibri" w:hAnsiTheme="majorHAnsi" w:cstheme="majorHAnsi"/>
        </w:rPr>
        <w:t xml:space="preserve">. Such credit </w:t>
      </w:r>
      <w:proofErr w:type="gramStart"/>
      <w:r w:rsidRPr="00092F0D">
        <w:rPr>
          <w:rFonts w:asciiTheme="majorHAnsi" w:eastAsia="Calibri" w:hAnsiTheme="majorHAnsi" w:cstheme="majorHAnsi"/>
        </w:rPr>
        <w:t>will be neg</w:t>
      </w:r>
      <w:r w:rsidR="00083B23">
        <w:rPr>
          <w:rFonts w:asciiTheme="majorHAnsi" w:eastAsia="Calibri" w:hAnsiTheme="majorHAnsi" w:cstheme="majorHAnsi"/>
        </w:rPr>
        <w:t>otiated</w:t>
      </w:r>
      <w:proofErr w:type="gramEnd"/>
      <w:r w:rsidR="00083B23">
        <w:rPr>
          <w:rFonts w:asciiTheme="majorHAnsi" w:eastAsia="Calibri" w:hAnsiTheme="majorHAnsi" w:cstheme="majorHAnsi"/>
        </w:rPr>
        <w:t xml:space="preserve"> on an individual basis. Units may set different schedules for reviews to fit the profiles of their faculty. P</w:t>
      </w:r>
      <w:r w:rsidRPr="00092F0D">
        <w:rPr>
          <w:rFonts w:asciiTheme="majorHAnsi" w:eastAsia="Calibri" w:hAnsiTheme="majorHAnsi" w:cstheme="majorHAnsi"/>
        </w:rPr>
        <w:t xml:space="preserve">romotion </w:t>
      </w:r>
      <w:proofErr w:type="gramStart"/>
      <w:r w:rsidRPr="00092F0D">
        <w:rPr>
          <w:rFonts w:asciiTheme="majorHAnsi" w:eastAsia="Calibri" w:hAnsiTheme="majorHAnsi" w:cstheme="majorHAnsi"/>
        </w:rPr>
        <w:t xml:space="preserve">will </w:t>
      </w:r>
      <w:r w:rsidR="00083B23">
        <w:rPr>
          <w:rFonts w:asciiTheme="majorHAnsi" w:eastAsia="Calibri" w:hAnsiTheme="majorHAnsi" w:cstheme="majorHAnsi"/>
        </w:rPr>
        <w:t>generally</w:t>
      </w:r>
      <w:r w:rsidRPr="00092F0D">
        <w:rPr>
          <w:rFonts w:asciiTheme="majorHAnsi" w:eastAsia="Calibri" w:hAnsiTheme="majorHAnsi" w:cstheme="majorHAnsi"/>
        </w:rPr>
        <w:t xml:space="preserve"> be considered</w:t>
      </w:r>
      <w:proofErr w:type="gramEnd"/>
      <w:r w:rsidRPr="00092F0D">
        <w:rPr>
          <w:rFonts w:asciiTheme="majorHAnsi" w:eastAsia="Calibri" w:hAnsiTheme="majorHAnsi" w:cstheme="majorHAnsi"/>
        </w:rPr>
        <w:t xml:space="preserve"> after three years of UA service in rank (at ≥ .5 FTE)</w:t>
      </w:r>
      <w:r w:rsidR="00083B23">
        <w:rPr>
          <w:rFonts w:asciiTheme="majorHAnsi" w:eastAsia="Calibri" w:hAnsiTheme="majorHAnsi" w:cstheme="majorHAnsi"/>
        </w:rPr>
        <w:t xml:space="preserve"> because the</w:t>
      </w:r>
      <w:r w:rsidRPr="00092F0D">
        <w:rPr>
          <w:rFonts w:asciiTheme="majorHAnsi" w:eastAsia="Calibri" w:hAnsiTheme="majorHAnsi" w:cstheme="majorHAnsi"/>
        </w:rPr>
        <w:t xml:space="preserve"> expertise needed for </w:t>
      </w:r>
      <w:r w:rsidR="00B7119F" w:rsidRPr="00092F0D">
        <w:rPr>
          <w:rFonts w:asciiTheme="majorHAnsi" w:eastAsia="Calibri" w:hAnsiTheme="majorHAnsi" w:cstheme="majorHAnsi"/>
        </w:rPr>
        <w:t>higher</w:t>
      </w:r>
      <w:r w:rsidRPr="00092F0D">
        <w:rPr>
          <w:rFonts w:asciiTheme="majorHAnsi" w:eastAsia="Calibri" w:hAnsiTheme="majorHAnsi" w:cstheme="majorHAnsi"/>
        </w:rPr>
        <w:t xml:space="preserve"> ranks requires understanding the UA’s institutional resources, </w:t>
      </w:r>
      <w:r w:rsidR="00083B23">
        <w:rPr>
          <w:rFonts w:asciiTheme="majorHAnsi" w:eastAsia="Calibri" w:hAnsiTheme="majorHAnsi" w:cstheme="majorHAnsi"/>
        </w:rPr>
        <w:t>expectations</w:t>
      </w:r>
      <w:r w:rsidRPr="00092F0D">
        <w:rPr>
          <w:rFonts w:asciiTheme="majorHAnsi" w:eastAsia="Calibri" w:hAnsiTheme="majorHAnsi" w:cstheme="majorHAnsi"/>
        </w:rPr>
        <w:t xml:space="preserve">, </w:t>
      </w:r>
      <w:r w:rsidR="00083B23">
        <w:rPr>
          <w:rFonts w:asciiTheme="majorHAnsi" w:eastAsia="Calibri" w:hAnsiTheme="majorHAnsi" w:cstheme="majorHAnsi"/>
        </w:rPr>
        <w:t>and mission</w:t>
      </w:r>
      <w:r w:rsidRPr="00092F0D">
        <w:rPr>
          <w:rFonts w:asciiTheme="majorHAnsi" w:eastAsia="Calibri" w:hAnsiTheme="majorHAnsi" w:cstheme="majorHAnsi"/>
        </w:rPr>
        <w:t>.</w:t>
      </w:r>
      <w:r w:rsidR="00085791">
        <w:rPr>
          <w:rFonts w:asciiTheme="majorHAnsi" w:eastAsia="Calibri" w:hAnsiTheme="majorHAnsi" w:cstheme="majorHAnsi"/>
        </w:rPr>
        <w:t xml:space="preserve"> Questions about years of service </w:t>
      </w:r>
      <w:proofErr w:type="gramStart"/>
      <w:r w:rsidR="00085791">
        <w:rPr>
          <w:rFonts w:asciiTheme="majorHAnsi" w:eastAsia="Calibri" w:hAnsiTheme="majorHAnsi" w:cstheme="majorHAnsi"/>
        </w:rPr>
        <w:t>should be directed</w:t>
      </w:r>
      <w:proofErr w:type="gramEnd"/>
      <w:r w:rsidR="00085791">
        <w:rPr>
          <w:rFonts w:asciiTheme="majorHAnsi" w:eastAsia="Calibri" w:hAnsiTheme="majorHAnsi" w:cstheme="majorHAnsi"/>
        </w:rPr>
        <w:t xml:space="preserve"> to the Vice Provost for Faculty Affairs.</w:t>
      </w:r>
    </w:p>
    <w:p w14:paraId="567E68AA" w14:textId="6EC749D3" w:rsidR="00C11A3B" w:rsidRPr="00617EDE" w:rsidRDefault="00617EDE" w:rsidP="006D4A5B">
      <w:pPr>
        <w:pStyle w:val="Normal1"/>
        <w:spacing w:after="120" w:line="240" w:lineRule="auto"/>
        <w:rPr>
          <w:rFonts w:asciiTheme="majorHAnsi" w:eastAsia="Calibri" w:hAnsiTheme="majorHAnsi" w:cstheme="majorHAnsi"/>
          <w:b/>
        </w:rPr>
      </w:pPr>
      <w:r w:rsidRPr="00617EDE">
        <w:rPr>
          <w:rFonts w:asciiTheme="majorHAnsi" w:eastAsia="Calibri" w:hAnsiTheme="majorHAnsi" w:cstheme="majorHAnsi"/>
          <w:b/>
        </w:rPr>
        <w:t>Considering student evaluations in assessments of faculty</w:t>
      </w:r>
      <w:r w:rsidR="0068674F" w:rsidRPr="00617EDE">
        <w:rPr>
          <w:rFonts w:asciiTheme="majorHAnsi" w:eastAsia="Calibri" w:hAnsiTheme="majorHAnsi" w:cstheme="majorHAnsi"/>
          <w:b/>
        </w:rPr>
        <w:t xml:space="preserve"> </w:t>
      </w:r>
    </w:p>
    <w:p w14:paraId="6E681AB6" w14:textId="097AC11B" w:rsidR="00617EDE" w:rsidRPr="00ED6939" w:rsidRDefault="00617EDE" w:rsidP="006D4A5B">
      <w:pPr>
        <w:pStyle w:val="Normal1"/>
        <w:spacing w:after="120" w:line="240" w:lineRule="auto"/>
        <w:rPr>
          <w:rFonts w:asciiTheme="majorHAnsi" w:eastAsia="Calibri" w:hAnsiTheme="majorHAnsi" w:cstheme="majorHAnsi"/>
        </w:rPr>
      </w:pPr>
      <w:r>
        <w:rPr>
          <w:rFonts w:ascii="Calibri" w:eastAsia="Calibri" w:hAnsi="Calibri" w:cs="Calibri"/>
        </w:rPr>
        <w:t xml:space="preserve">When assessing teaching for promotion, reviewers should recognize that research has demonstrated that faculty members’ gender, ethnicity, sexual orientation, national origin, and disability </w:t>
      </w:r>
      <w:r w:rsidR="00B71373">
        <w:rPr>
          <w:rFonts w:ascii="Calibri" w:eastAsia="Calibri" w:hAnsi="Calibri" w:cs="Calibri"/>
        </w:rPr>
        <w:t xml:space="preserve">status </w:t>
      </w:r>
      <w:r>
        <w:rPr>
          <w:rFonts w:ascii="Calibri" w:eastAsia="Calibri" w:hAnsi="Calibri" w:cs="Calibri"/>
        </w:rPr>
        <w:t xml:space="preserve">can </w:t>
      </w:r>
      <w:proofErr w:type="gramStart"/>
      <w:r>
        <w:rPr>
          <w:rFonts w:ascii="Calibri" w:eastAsia="Calibri" w:hAnsi="Calibri" w:cs="Calibri"/>
        </w:rPr>
        <w:t>impact</w:t>
      </w:r>
      <w:proofErr w:type="gramEnd"/>
      <w:r>
        <w:rPr>
          <w:rFonts w:ascii="Calibri" w:eastAsia="Calibri" w:hAnsi="Calibri" w:cs="Calibri"/>
        </w:rPr>
        <w:t xml:space="preserve"> their students’ evaluations. </w:t>
      </w:r>
      <w:r w:rsidR="002E07E3">
        <w:rPr>
          <w:rFonts w:ascii="Calibri" w:eastAsia="Calibri" w:hAnsi="Calibri" w:cs="Calibri"/>
        </w:rPr>
        <w:t xml:space="preserve">That impact </w:t>
      </w:r>
      <w:proofErr w:type="gramStart"/>
      <w:r w:rsidR="002E07E3">
        <w:rPr>
          <w:rFonts w:ascii="Calibri" w:eastAsia="Calibri" w:hAnsi="Calibri" w:cs="Calibri"/>
        </w:rPr>
        <w:t>can be intensified</w:t>
      </w:r>
      <w:proofErr w:type="gramEnd"/>
      <w:r w:rsidR="002E07E3">
        <w:rPr>
          <w:rFonts w:ascii="Calibri" w:eastAsia="Calibri" w:hAnsi="Calibri" w:cs="Calibri"/>
        </w:rPr>
        <w:t xml:space="preserve"> by controversial course content</w:t>
      </w:r>
      <w:r w:rsidR="00B71373">
        <w:rPr>
          <w:rFonts w:ascii="Calibri" w:eastAsia="Calibri" w:hAnsi="Calibri" w:cs="Calibri"/>
        </w:rPr>
        <w:t xml:space="preserve"> and individuals’ teaching style</w:t>
      </w:r>
      <w:r w:rsidR="002E07E3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The University recognizes th</w:t>
      </w:r>
      <w:r w:rsidR="00B71373">
        <w:rPr>
          <w:rFonts w:ascii="Calibri" w:eastAsia="Calibri" w:hAnsi="Calibri" w:cs="Calibri"/>
        </w:rPr>
        <w:t>e impact of these factors</w:t>
      </w:r>
      <w:r>
        <w:rPr>
          <w:rFonts w:ascii="Calibri" w:eastAsia="Calibri" w:hAnsi="Calibri" w:cs="Calibri"/>
        </w:rPr>
        <w:t xml:space="preserve"> by </w:t>
      </w:r>
      <w:r w:rsidR="00B71373">
        <w:rPr>
          <w:rFonts w:ascii="Calibri" w:eastAsia="Calibri" w:hAnsi="Calibri" w:cs="Calibri"/>
        </w:rPr>
        <w:t xml:space="preserve">considering </w:t>
      </w:r>
      <w:r>
        <w:rPr>
          <w:rFonts w:ascii="Calibri" w:eastAsia="Calibri" w:hAnsi="Calibri" w:cs="Calibri"/>
        </w:rPr>
        <w:t xml:space="preserve">student evaluations </w:t>
      </w:r>
      <w:r w:rsidR="00B71373">
        <w:rPr>
          <w:rFonts w:ascii="Calibri" w:eastAsia="Calibri" w:hAnsi="Calibri" w:cs="Calibri"/>
        </w:rPr>
        <w:t>as part of a multimodal review that includes</w:t>
      </w:r>
      <w:r>
        <w:rPr>
          <w:rFonts w:ascii="Calibri" w:eastAsia="Calibri" w:hAnsi="Calibri" w:cs="Calibri"/>
        </w:rPr>
        <w:t xml:space="preserve"> peer </w:t>
      </w:r>
      <w:r w:rsidR="00B71373">
        <w:rPr>
          <w:rFonts w:ascii="Calibri" w:eastAsia="Calibri" w:hAnsi="Calibri" w:cs="Calibri"/>
        </w:rPr>
        <w:t xml:space="preserve">observations and reviews of teaching </w:t>
      </w:r>
      <w:r w:rsidR="00B71373" w:rsidRPr="00ED6939">
        <w:rPr>
          <w:rFonts w:asciiTheme="majorHAnsi" w:eastAsia="Calibri" w:hAnsiTheme="majorHAnsi" w:cstheme="majorHAnsi"/>
        </w:rPr>
        <w:t xml:space="preserve">portfolios. Peer </w:t>
      </w:r>
      <w:r w:rsidRPr="00ED6939">
        <w:rPr>
          <w:rFonts w:asciiTheme="majorHAnsi" w:eastAsia="Calibri" w:hAnsiTheme="majorHAnsi" w:cstheme="majorHAnsi"/>
        </w:rPr>
        <w:t xml:space="preserve">reviewers </w:t>
      </w:r>
      <w:r w:rsidR="00B71373" w:rsidRPr="00ED6939">
        <w:rPr>
          <w:rFonts w:asciiTheme="majorHAnsi" w:eastAsia="Calibri" w:hAnsiTheme="majorHAnsi" w:cstheme="majorHAnsi"/>
        </w:rPr>
        <w:t xml:space="preserve">are encouraged </w:t>
      </w:r>
      <w:r w:rsidRPr="00ED6939">
        <w:rPr>
          <w:rFonts w:asciiTheme="majorHAnsi" w:eastAsia="Calibri" w:hAnsiTheme="majorHAnsi" w:cstheme="majorHAnsi"/>
        </w:rPr>
        <w:t xml:space="preserve">to </w:t>
      </w:r>
      <w:r w:rsidR="00B71373" w:rsidRPr="00ED6939">
        <w:rPr>
          <w:rFonts w:asciiTheme="majorHAnsi" w:eastAsia="Calibri" w:hAnsiTheme="majorHAnsi" w:cstheme="majorHAnsi"/>
        </w:rPr>
        <w:t>reflect upon</w:t>
      </w:r>
      <w:r w:rsidRPr="00ED6939">
        <w:rPr>
          <w:rFonts w:asciiTheme="majorHAnsi" w:eastAsia="Calibri" w:hAnsiTheme="majorHAnsi" w:cstheme="majorHAnsi"/>
        </w:rPr>
        <w:t xml:space="preserve"> the impact of such factors </w:t>
      </w:r>
      <w:r w:rsidR="00B71373" w:rsidRPr="00ED6939">
        <w:rPr>
          <w:rFonts w:asciiTheme="majorHAnsi" w:eastAsia="Calibri" w:hAnsiTheme="majorHAnsi" w:cstheme="majorHAnsi"/>
        </w:rPr>
        <w:t>when making their</w:t>
      </w:r>
      <w:r w:rsidRPr="00ED6939">
        <w:rPr>
          <w:rFonts w:asciiTheme="majorHAnsi" w:eastAsia="Calibri" w:hAnsiTheme="majorHAnsi" w:cstheme="majorHAnsi"/>
        </w:rPr>
        <w:t xml:space="preserve"> assessments. </w:t>
      </w:r>
      <w:r w:rsidR="00B71373" w:rsidRPr="00ED6939">
        <w:rPr>
          <w:rFonts w:asciiTheme="majorHAnsi" w:eastAsia="Calibri" w:hAnsiTheme="majorHAnsi" w:cstheme="majorHAnsi"/>
        </w:rPr>
        <w:t>Reviewers</w:t>
      </w:r>
      <w:r w:rsidRPr="00ED6939">
        <w:rPr>
          <w:rFonts w:asciiTheme="majorHAnsi" w:eastAsia="Calibri" w:hAnsiTheme="majorHAnsi" w:cstheme="majorHAnsi"/>
        </w:rPr>
        <w:t xml:space="preserve"> should </w:t>
      </w:r>
      <w:r w:rsidR="00B71373" w:rsidRPr="00ED6939">
        <w:rPr>
          <w:rFonts w:asciiTheme="majorHAnsi" w:eastAsia="Calibri" w:hAnsiTheme="majorHAnsi" w:cstheme="majorHAnsi"/>
        </w:rPr>
        <w:t>use</w:t>
      </w:r>
      <w:r w:rsidRPr="00ED6939">
        <w:rPr>
          <w:rFonts w:asciiTheme="majorHAnsi" w:eastAsia="Calibri" w:hAnsiTheme="majorHAnsi" w:cstheme="majorHAnsi"/>
        </w:rPr>
        <w:t xml:space="preserve"> the </w:t>
      </w:r>
      <w:hyperlink r:id="rId23" w:history="1">
        <w:r w:rsidRPr="00ED6939">
          <w:rPr>
            <w:rStyle w:val="Hyperlink"/>
            <w:rFonts w:asciiTheme="majorHAnsi" w:eastAsia="Calibri" w:hAnsiTheme="majorHAnsi" w:cstheme="majorHAnsi"/>
          </w:rPr>
          <w:t xml:space="preserve">Office of </w:t>
        </w:r>
        <w:r w:rsidR="00B71373" w:rsidRPr="00ED6939">
          <w:rPr>
            <w:rStyle w:val="Hyperlink"/>
            <w:rFonts w:asciiTheme="majorHAnsi" w:eastAsia="Calibri" w:hAnsiTheme="majorHAnsi" w:cstheme="majorHAnsi"/>
          </w:rPr>
          <w:t xml:space="preserve">Instruction and </w:t>
        </w:r>
        <w:r w:rsidRPr="00ED6939">
          <w:rPr>
            <w:rStyle w:val="Hyperlink"/>
            <w:rFonts w:asciiTheme="majorHAnsi" w:eastAsia="Calibri" w:hAnsiTheme="majorHAnsi" w:cstheme="majorHAnsi"/>
          </w:rPr>
          <w:t>Assessment’s Peer Review Protocol</w:t>
        </w:r>
      </w:hyperlink>
      <w:r w:rsidRPr="00ED6939">
        <w:rPr>
          <w:rFonts w:asciiTheme="majorHAnsi" w:eastAsia="Calibri" w:hAnsiTheme="majorHAnsi" w:cstheme="majorHAnsi"/>
        </w:rPr>
        <w:t>.</w:t>
      </w:r>
    </w:p>
    <w:p w14:paraId="4A821ED2" w14:textId="1E6AFD0E" w:rsidR="00C11A3B" w:rsidRPr="00ED6939" w:rsidRDefault="0068674F" w:rsidP="006D4A5B">
      <w:pPr>
        <w:pStyle w:val="Normal1"/>
        <w:spacing w:after="120" w:line="240" w:lineRule="auto"/>
        <w:rPr>
          <w:rFonts w:asciiTheme="majorHAnsi" w:eastAsia="Calibri" w:hAnsiTheme="majorHAnsi" w:cstheme="majorHAnsi"/>
          <w:b/>
        </w:rPr>
      </w:pPr>
      <w:r w:rsidRPr="00ED6939">
        <w:rPr>
          <w:rFonts w:asciiTheme="majorHAnsi" w:eastAsia="Calibri" w:hAnsiTheme="majorHAnsi" w:cstheme="majorHAnsi"/>
          <w:b/>
        </w:rPr>
        <w:t>Timeline for</w:t>
      </w:r>
      <w:r w:rsidR="002E07E3" w:rsidRPr="00ED6939">
        <w:rPr>
          <w:rFonts w:asciiTheme="majorHAnsi" w:eastAsia="Calibri" w:hAnsiTheme="majorHAnsi" w:cstheme="majorHAnsi"/>
          <w:b/>
        </w:rPr>
        <w:t xml:space="preserve"> career-track</w:t>
      </w:r>
      <w:r w:rsidRPr="00ED6939">
        <w:rPr>
          <w:rFonts w:asciiTheme="majorHAnsi" w:eastAsia="Calibri" w:hAnsiTheme="majorHAnsi" w:cstheme="majorHAnsi"/>
          <w:b/>
        </w:rPr>
        <w:t xml:space="preserve"> promotion</w:t>
      </w:r>
      <w:r w:rsidR="002E07E3" w:rsidRPr="00ED6939">
        <w:rPr>
          <w:rFonts w:asciiTheme="majorHAnsi" w:eastAsia="Calibri" w:hAnsiTheme="majorHAnsi" w:cstheme="majorHAnsi"/>
          <w:b/>
        </w:rPr>
        <w:t xml:space="preserve"> reviews</w:t>
      </w:r>
      <w:r w:rsidR="00F46804" w:rsidRPr="00ED6939">
        <w:rPr>
          <w:rFonts w:asciiTheme="majorHAnsi" w:eastAsia="Calibri" w:hAnsiTheme="majorHAnsi" w:cstheme="majorHAnsi"/>
          <w:b/>
        </w:rPr>
        <w:t xml:space="preserve"> </w:t>
      </w:r>
    </w:p>
    <w:p w14:paraId="225B50DA" w14:textId="7746DF07" w:rsidR="002E07E3" w:rsidRPr="00ED6939" w:rsidRDefault="001066A0" w:rsidP="006D4A5B">
      <w:pPr>
        <w:pStyle w:val="Normal1"/>
        <w:spacing w:after="120" w:line="240" w:lineRule="auto"/>
        <w:rPr>
          <w:rFonts w:asciiTheme="majorHAnsi" w:eastAsia="Calibr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The final decisions on p</w:t>
      </w:r>
      <w:r w:rsidR="00ED6939" w:rsidRPr="00ED6939">
        <w:rPr>
          <w:rFonts w:asciiTheme="majorHAnsi" w:hAnsiTheme="majorHAnsi" w:cstheme="majorHAnsi"/>
        </w:rPr>
        <w:t xml:space="preserve">romotions </w:t>
      </w:r>
      <w:r>
        <w:rPr>
          <w:rFonts w:asciiTheme="majorHAnsi" w:hAnsiTheme="majorHAnsi" w:cstheme="majorHAnsi"/>
        </w:rPr>
        <w:t xml:space="preserve">of </w:t>
      </w:r>
      <w:r w:rsidR="00ED6939" w:rsidRPr="00ED6939">
        <w:rPr>
          <w:rFonts w:asciiTheme="majorHAnsi" w:hAnsiTheme="majorHAnsi" w:cstheme="majorHAnsi"/>
        </w:rPr>
        <w:t>lecturer</w:t>
      </w:r>
      <w:r>
        <w:rPr>
          <w:rFonts w:asciiTheme="majorHAnsi" w:hAnsiTheme="majorHAnsi" w:cstheme="majorHAnsi"/>
        </w:rPr>
        <w:t>s are made by</w:t>
      </w:r>
      <w:r w:rsidR="00ED6939" w:rsidRPr="00ED6939">
        <w:rPr>
          <w:rFonts w:asciiTheme="majorHAnsi" w:hAnsiTheme="majorHAnsi" w:cstheme="majorHAnsi"/>
        </w:rPr>
        <w:t xml:space="preserve"> dean</w:t>
      </w:r>
      <w:r>
        <w:rPr>
          <w:rFonts w:asciiTheme="majorHAnsi" w:hAnsiTheme="majorHAnsi" w:cstheme="majorHAnsi"/>
        </w:rPr>
        <w:t>s</w:t>
      </w:r>
      <w:bookmarkStart w:id="0" w:name="_GoBack"/>
      <w:bookmarkEnd w:id="0"/>
      <w:proofErr w:type="gramEnd"/>
      <w:r w:rsidR="00ED6939">
        <w:rPr>
          <w:rFonts w:asciiTheme="majorHAnsi" w:hAnsiTheme="majorHAnsi" w:cstheme="majorHAnsi"/>
        </w:rPr>
        <w:t xml:space="preserve">, so departments should coordinate with their dean’s office on scheduling promotion reviews.  </w:t>
      </w:r>
      <w:r w:rsidR="00ED6939" w:rsidRPr="00ED6939">
        <w:rPr>
          <w:rFonts w:asciiTheme="majorHAnsi" w:hAnsiTheme="majorHAnsi" w:cstheme="majorHAnsi"/>
        </w:rPr>
        <w:t xml:space="preserve"> </w:t>
      </w:r>
      <w:r w:rsidR="00ED6939">
        <w:rPr>
          <w:rFonts w:asciiTheme="majorHAnsi" w:hAnsiTheme="majorHAnsi" w:cstheme="majorHAnsi"/>
        </w:rPr>
        <w:t xml:space="preserve"> </w:t>
      </w:r>
    </w:p>
    <w:sectPr w:rsidR="002E07E3" w:rsidRPr="00ED6939" w:rsidSect="00BD76FD">
      <w:headerReference w:type="default" r:id="rId24"/>
      <w:pgSz w:w="12240" w:h="15840"/>
      <w:pgMar w:top="1440" w:right="1440" w:bottom="90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5A8A8" w14:textId="77777777" w:rsidR="00473D57" w:rsidRDefault="00473D57">
      <w:pPr>
        <w:spacing w:line="240" w:lineRule="auto"/>
      </w:pPr>
      <w:r>
        <w:separator/>
      </w:r>
    </w:p>
  </w:endnote>
  <w:endnote w:type="continuationSeparator" w:id="0">
    <w:p w14:paraId="10119936" w14:textId="77777777" w:rsidR="00473D57" w:rsidRDefault="00473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93678" w14:textId="77777777" w:rsidR="00473D57" w:rsidRDefault="00473D57">
      <w:pPr>
        <w:spacing w:line="240" w:lineRule="auto"/>
      </w:pPr>
      <w:r>
        <w:separator/>
      </w:r>
    </w:p>
  </w:footnote>
  <w:footnote w:type="continuationSeparator" w:id="0">
    <w:p w14:paraId="5985041B" w14:textId="77777777" w:rsidR="00473D57" w:rsidRDefault="00473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B6A7" w14:textId="4CD1C529" w:rsidR="00C11A3B" w:rsidRPr="00A463A8" w:rsidRDefault="00C11A3B" w:rsidP="00A463A8">
    <w:pPr>
      <w:pStyle w:val="Normal1"/>
      <w:jc w:val="center"/>
      <w:rPr>
        <w:b/>
        <w:sz w:val="28"/>
        <w:szCs w:val="28"/>
      </w:rPr>
    </w:pPr>
  </w:p>
  <w:p w14:paraId="411E2B06" w14:textId="77777777" w:rsidR="00CA7C28" w:rsidRDefault="00CA7C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1F6F"/>
    <w:multiLevelType w:val="hybridMultilevel"/>
    <w:tmpl w:val="5298E85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BD0FEA"/>
    <w:multiLevelType w:val="hybridMultilevel"/>
    <w:tmpl w:val="59940F0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pacing w:val="0"/>
        <w:w w:val="100"/>
        <w:position w:val="0"/>
        <w:sz w:val="24"/>
        <w:szCs w:val="24"/>
      </w:rPr>
    </w:lvl>
    <w:lvl w:ilvl="1" w:tplc="AA24C7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CA23AC"/>
    <w:multiLevelType w:val="multilevel"/>
    <w:tmpl w:val="7C38F028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B0607B"/>
    <w:multiLevelType w:val="hybridMultilevel"/>
    <w:tmpl w:val="5220FBE2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spacing w:val="0"/>
        <w:w w:val="100"/>
        <w:position w:val="0"/>
        <w:sz w:val="24"/>
        <w:szCs w:val="24"/>
      </w:rPr>
    </w:lvl>
    <w:lvl w:ilvl="1" w:tplc="AA24C7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707865"/>
    <w:multiLevelType w:val="multilevel"/>
    <w:tmpl w:val="1E12DCD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501C13"/>
    <w:multiLevelType w:val="hybridMultilevel"/>
    <w:tmpl w:val="657A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91A7F"/>
    <w:multiLevelType w:val="hybridMultilevel"/>
    <w:tmpl w:val="76D2EAC2"/>
    <w:lvl w:ilvl="0" w:tplc="5C8CC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FCA48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D85051"/>
    <w:multiLevelType w:val="multilevel"/>
    <w:tmpl w:val="E834C36C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07529CC"/>
    <w:multiLevelType w:val="hybridMultilevel"/>
    <w:tmpl w:val="5ABC49D2"/>
    <w:lvl w:ilvl="0" w:tplc="BFCA487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8402B"/>
    <w:multiLevelType w:val="hybridMultilevel"/>
    <w:tmpl w:val="D0364B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71766"/>
    <w:multiLevelType w:val="hybridMultilevel"/>
    <w:tmpl w:val="C79C311E"/>
    <w:lvl w:ilvl="0" w:tplc="B9C40F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908DC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D5A043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1321E2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F8441C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956932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F6410F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DE503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4DCB7E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45A82"/>
    <w:multiLevelType w:val="hybridMultilevel"/>
    <w:tmpl w:val="DA34A5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1674118"/>
    <w:multiLevelType w:val="multilevel"/>
    <w:tmpl w:val="1214CCF0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7210443"/>
    <w:multiLevelType w:val="hybridMultilevel"/>
    <w:tmpl w:val="1288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73C54"/>
    <w:multiLevelType w:val="multilevel"/>
    <w:tmpl w:val="6BA86420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84D08AD"/>
    <w:multiLevelType w:val="multilevel"/>
    <w:tmpl w:val="0652F684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9312C6D"/>
    <w:multiLevelType w:val="hybridMultilevel"/>
    <w:tmpl w:val="BFB62B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A24C7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A5530C"/>
    <w:multiLevelType w:val="multilevel"/>
    <w:tmpl w:val="88EAF800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2B77A3E"/>
    <w:multiLevelType w:val="hybridMultilevel"/>
    <w:tmpl w:val="ECFC1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F76B0"/>
    <w:multiLevelType w:val="multilevel"/>
    <w:tmpl w:val="24DC88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8127EE2"/>
    <w:multiLevelType w:val="multilevel"/>
    <w:tmpl w:val="16C4E0C4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AE7290E"/>
    <w:multiLevelType w:val="multilevel"/>
    <w:tmpl w:val="7BC469E6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CEE2E65"/>
    <w:multiLevelType w:val="hybridMultilevel"/>
    <w:tmpl w:val="47D0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87C0B"/>
    <w:multiLevelType w:val="hybridMultilevel"/>
    <w:tmpl w:val="020E2CB4"/>
    <w:lvl w:ilvl="0" w:tplc="5C8CC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98371E"/>
    <w:multiLevelType w:val="multilevel"/>
    <w:tmpl w:val="82EC27B2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0D43635"/>
    <w:multiLevelType w:val="hybridMultilevel"/>
    <w:tmpl w:val="9BDA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33CAB"/>
    <w:multiLevelType w:val="multilevel"/>
    <w:tmpl w:val="5B9C0D30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A530E06"/>
    <w:multiLevelType w:val="multilevel"/>
    <w:tmpl w:val="495E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BF4969"/>
    <w:multiLevelType w:val="multilevel"/>
    <w:tmpl w:val="2DE0663C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4"/>
  </w:num>
  <w:num w:numId="3">
    <w:abstractNumId w:val="2"/>
  </w:num>
  <w:num w:numId="4">
    <w:abstractNumId w:val="26"/>
  </w:num>
  <w:num w:numId="5">
    <w:abstractNumId w:val="7"/>
  </w:num>
  <w:num w:numId="6">
    <w:abstractNumId w:val="14"/>
  </w:num>
  <w:num w:numId="7">
    <w:abstractNumId w:val="12"/>
  </w:num>
  <w:num w:numId="8">
    <w:abstractNumId w:val="17"/>
  </w:num>
  <w:num w:numId="9">
    <w:abstractNumId w:val="21"/>
  </w:num>
  <w:num w:numId="10">
    <w:abstractNumId w:val="28"/>
  </w:num>
  <w:num w:numId="11">
    <w:abstractNumId w:val="15"/>
  </w:num>
  <w:num w:numId="12">
    <w:abstractNumId w:val="20"/>
  </w:num>
  <w:num w:numId="13">
    <w:abstractNumId w:val="5"/>
  </w:num>
  <w:num w:numId="14">
    <w:abstractNumId w:val="13"/>
  </w:num>
  <w:num w:numId="15">
    <w:abstractNumId w:val="19"/>
  </w:num>
  <w:num w:numId="16">
    <w:abstractNumId w:val="6"/>
  </w:num>
  <w:num w:numId="17">
    <w:abstractNumId w:val="16"/>
  </w:num>
  <w:num w:numId="18">
    <w:abstractNumId w:val="3"/>
  </w:num>
  <w:num w:numId="19">
    <w:abstractNumId w:val="22"/>
  </w:num>
  <w:num w:numId="20">
    <w:abstractNumId w:val="1"/>
  </w:num>
  <w:num w:numId="21">
    <w:abstractNumId w:val="11"/>
  </w:num>
  <w:num w:numId="22">
    <w:abstractNumId w:val="8"/>
  </w:num>
  <w:num w:numId="23">
    <w:abstractNumId w:val="10"/>
  </w:num>
  <w:num w:numId="24">
    <w:abstractNumId w:val="18"/>
  </w:num>
  <w:num w:numId="25">
    <w:abstractNumId w:val="25"/>
  </w:num>
  <w:num w:numId="26">
    <w:abstractNumId w:val="23"/>
  </w:num>
  <w:num w:numId="27">
    <w:abstractNumId w:val="0"/>
  </w:num>
  <w:num w:numId="28">
    <w:abstractNumId w:val="2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3B"/>
    <w:rsid w:val="00000068"/>
    <w:rsid w:val="00083B23"/>
    <w:rsid w:val="00085791"/>
    <w:rsid w:val="000921B7"/>
    <w:rsid w:val="00092F0D"/>
    <w:rsid w:val="000A3777"/>
    <w:rsid w:val="000D2E94"/>
    <w:rsid w:val="001066A0"/>
    <w:rsid w:val="001726AB"/>
    <w:rsid w:val="002178AB"/>
    <w:rsid w:val="0029506E"/>
    <w:rsid w:val="002A1021"/>
    <w:rsid w:val="002E07E3"/>
    <w:rsid w:val="00326FD8"/>
    <w:rsid w:val="00345B86"/>
    <w:rsid w:val="00411029"/>
    <w:rsid w:val="00473D57"/>
    <w:rsid w:val="004B4176"/>
    <w:rsid w:val="004F7114"/>
    <w:rsid w:val="00521FA2"/>
    <w:rsid w:val="005473DB"/>
    <w:rsid w:val="00556ECF"/>
    <w:rsid w:val="00562B26"/>
    <w:rsid w:val="005F1EA2"/>
    <w:rsid w:val="00613517"/>
    <w:rsid w:val="00617EDE"/>
    <w:rsid w:val="00635A46"/>
    <w:rsid w:val="00652B02"/>
    <w:rsid w:val="0068674F"/>
    <w:rsid w:val="00693F5C"/>
    <w:rsid w:val="00697835"/>
    <w:rsid w:val="006C374D"/>
    <w:rsid w:val="006D4A5B"/>
    <w:rsid w:val="006D5870"/>
    <w:rsid w:val="006F13D9"/>
    <w:rsid w:val="006F7321"/>
    <w:rsid w:val="00701BCA"/>
    <w:rsid w:val="0070628E"/>
    <w:rsid w:val="0072618F"/>
    <w:rsid w:val="007D66FB"/>
    <w:rsid w:val="00844D6E"/>
    <w:rsid w:val="00865471"/>
    <w:rsid w:val="008D0015"/>
    <w:rsid w:val="008F11C5"/>
    <w:rsid w:val="00901B9A"/>
    <w:rsid w:val="00923061"/>
    <w:rsid w:val="009753FC"/>
    <w:rsid w:val="0099488B"/>
    <w:rsid w:val="009A55F7"/>
    <w:rsid w:val="009E4959"/>
    <w:rsid w:val="00A05ABA"/>
    <w:rsid w:val="00A40C2D"/>
    <w:rsid w:val="00A41626"/>
    <w:rsid w:val="00A463A8"/>
    <w:rsid w:val="00A84A49"/>
    <w:rsid w:val="00AC6510"/>
    <w:rsid w:val="00AF1544"/>
    <w:rsid w:val="00AF31FC"/>
    <w:rsid w:val="00B12B82"/>
    <w:rsid w:val="00B157E4"/>
    <w:rsid w:val="00B206FE"/>
    <w:rsid w:val="00B5789D"/>
    <w:rsid w:val="00B7119F"/>
    <w:rsid w:val="00B71373"/>
    <w:rsid w:val="00BB457B"/>
    <w:rsid w:val="00BD76FD"/>
    <w:rsid w:val="00BE62E8"/>
    <w:rsid w:val="00C11A3B"/>
    <w:rsid w:val="00C63C44"/>
    <w:rsid w:val="00C7501E"/>
    <w:rsid w:val="00CA5212"/>
    <w:rsid w:val="00CA7C28"/>
    <w:rsid w:val="00CB2C03"/>
    <w:rsid w:val="00CE6E51"/>
    <w:rsid w:val="00D03459"/>
    <w:rsid w:val="00D67406"/>
    <w:rsid w:val="00E6496F"/>
    <w:rsid w:val="00E73C4B"/>
    <w:rsid w:val="00EB57B4"/>
    <w:rsid w:val="00EB647C"/>
    <w:rsid w:val="00ED6939"/>
    <w:rsid w:val="00F46804"/>
    <w:rsid w:val="00F74B7B"/>
    <w:rsid w:val="00FA43EC"/>
    <w:rsid w:val="00FA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967AC1"/>
  <w15:docId w15:val="{BB82F486-A8C1-46E9-9858-8624D7B8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55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5F7"/>
  </w:style>
  <w:style w:type="paragraph" w:styleId="Footer">
    <w:name w:val="footer"/>
    <w:basedOn w:val="Normal"/>
    <w:link w:val="FooterChar"/>
    <w:uiPriority w:val="99"/>
    <w:unhideWhenUsed/>
    <w:rsid w:val="009A55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5F7"/>
  </w:style>
  <w:style w:type="character" w:styleId="CommentReference">
    <w:name w:val="annotation reference"/>
    <w:basedOn w:val="DefaultParagraphFont"/>
    <w:uiPriority w:val="99"/>
    <w:semiHidden/>
    <w:unhideWhenUsed/>
    <w:rsid w:val="009E49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95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95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9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9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95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5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63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2C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/>
    </w:rPr>
  </w:style>
  <w:style w:type="paragraph" w:styleId="NormalWeb">
    <w:name w:val="Normal (Web)"/>
    <w:basedOn w:val="Normal"/>
    <w:uiPriority w:val="99"/>
    <w:rsid w:val="00CA7C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48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560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1485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604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043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5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0738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6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30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369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.arizona.edu/university-handbook-appointed-personnel" TargetMode="External"/><Relationship Id="rId13" Type="http://schemas.openxmlformats.org/officeDocument/2006/relationships/hyperlink" Target="http://policy.arizona.edu/employmenthuman-resources/promotion-and-tenure" TargetMode="External"/><Relationship Id="rId18" Type="http://schemas.openxmlformats.org/officeDocument/2006/relationships/hyperlink" Target="http://facultyaffairs.arizona.edu/sites/facultyaffairs/files/17-18_06-teachingportfolio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facultyaffairs.arizona.edu/sites/facultyaffairs/files/teachingportfolioeval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eachingprotocol.oia.arizona.edu/" TargetMode="External"/><Relationship Id="rId17" Type="http://schemas.openxmlformats.org/officeDocument/2006/relationships/hyperlink" Target="http://facultyaffairs.arizona.edu/sites/facultyaffairs/files/17-18_05-candidatestatement_0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facultyaffairs.arizona.edu/sites/facultyaffairs/files/17-18_02-workloadassignment_0.pdf" TargetMode="External"/><Relationship Id="rId20" Type="http://schemas.openxmlformats.org/officeDocument/2006/relationships/hyperlink" Target="http://facultyaffairs.arizona.edu/sites/facultyaffairs/files/17-18_07-teachingevaluatio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acultyaffairs.arizona.edu/universitys-inclusive-view-scholarship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facultyaffairs.arizona.edu/sites/facultyaffairs/files/17-18_01-summarydatasheet.pdf" TargetMode="External"/><Relationship Id="rId23" Type="http://schemas.openxmlformats.org/officeDocument/2006/relationships/hyperlink" Target="http://teachingprotocol.oia.arizona.edu/" TargetMode="External"/><Relationship Id="rId10" Type="http://schemas.openxmlformats.org/officeDocument/2006/relationships/hyperlink" Target="http://policy.arizona.edu/employmenthuman-resources/promotion-and-tenure" TargetMode="External"/><Relationship Id="rId19" Type="http://schemas.openxmlformats.org/officeDocument/2006/relationships/hyperlink" Target="http://facultyaffairs.arizona.edu/sites/facultyaffairs/files/17-18_06_teachingportfolioresourc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cultyaffairs.arizona.edu/career-track-faculty" TargetMode="External"/><Relationship Id="rId14" Type="http://schemas.openxmlformats.org/officeDocument/2006/relationships/hyperlink" Target="http://facultyaffairs.arizona.edu/promotion-and-tenure" TargetMode="External"/><Relationship Id="rId22" Type="http://schemas.openxmlformats.org/officeDocument/2006/relationships/hyperlink" Target="http://facultyaffairs.arizona.edu/sites/facultyaffairs/files/17-18_11-recommenda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20966-DB42-4092-9960-0681473D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Galilee-Belfer, Mika - (mikagb)</dc:creator>
  <cp:lastModifiedBy>Tom Miller</cp:lastModifiedBy>
  <cp:revision>4</cp:revision>
  <cp:lastPrinted>2018-04-25T15:09:00Z</cp:lastPrinted>
  <dcterms:created xsi:type="dcterms:W3CDTF">2018-05-31T17:42:00Z</dcterms:created>
  <dcterms:modified xsi:type="dcterms:W3CDTF">2018-05-31T17:51:00Z</dcterms:modified>
</cp:coreProperties>
</file>